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10525996" w14:textId="03B1F178" w:rsidR="00FF5E96" w:rsidRDefault="00FF5E96" w:rsidP="00FF5E96">
      <w:pPr>
        <w:rPr>
          <w:rFonts w:asciiTheme="minorHAnsi" w:hAnsiTheme="minorHAnsi" w:cstheme="minorHAnsi"/>
        </w:rPr>
      </w:pPr>
    </w:p>
    <w:p w14:paraId="78630348" w14:textId="231987C8" w:rsidR="007802FF" w:rsidRPr="008D0A9C" w:rsidRDefault="005374C9" w:rsidP="00FF5E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517BA">
        <w:rPr>
          <w:rFonts w:asciiTheme="minorHAnsi" w:hAnsiTheme="minorHAnsi" w:cstheme="minorHAnsi"/>
        </w:rPr>
        <w:t>asual Café Crew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0224A766" w:rsidR="0053369D" w:rsidRPr="008D0A9C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1517BA">
        <w:rPr>
          <w:rFonts w:asciiTheme="minorHAnsi" w:hAnsiTheme="minorHAnsi" w:cstheme="minorHAnsi"/>
          <w:b/>
          <w:snapToGrid w:val="0"/>
        </w:rPr>
        <w:t xml:space="preserve">W5 </w:t>
      </w:r>
      <w:r w:rsidR="005772AF" w:rsidRPr="008D0A9C">
        <w:rPr>
          <w:rFonts w:asciiTheme="minorHAnsi" w:hAnsiTheme="minorHAnsi" w:cstheme="minorHAnsi"/>
          <w:b/>
          <w:snapToGrid w:val="0"/>
        </w:rPr>
        <w:t xml:space="preserve">part of the </w:t>
      </w:r>
      <w:r w:rsidR="00F67510" w:rsidRPr="008D0A9C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8D0A9C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119382CC" w:rsidR="0053369D" w:rsidRPr="008D0A9C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1517BA">
        <w:rPr>
          <w:rFonts w:asciiTheme="minorHAnsi" w:hAnsiTheme="minorHAnsi" w:cstheme="minorHAnsi"/>
          <w:b/>
          <w:snapToGrid w:val="0"/>
        </w:rPr>
        <w:t xml:space="preserve">F&amp;B </w:t>
      </w:r>
      <w:r w:rsidR="00766082">
        <w:rPr>
          <w:rFonts w:asciiTheme="minorHAnsi" w:hAnsiTheme="minorHAnsi" w:cstheme="minorHAnsi"/>
          <w:b/>
          <w:snapToGrid w:val="0"/>
        </w:rPr>
        <w:t>Supervisor</w:t>
      </w:r>
    </w:p>
    <w:p w14:paraId="6DD17DAA" w14:textId="03E19FAB" w:rsidR="00E61073" w:rsidRPr="008D0A9C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1517BA">
        <w:rPr>
          <w:rFonts w:asciiTheme="minorHAnsi" w:hAnsiTheme="minorHAnsi" w:cstheme="minorHAnsi"/>
          <w:b/>
          <w:snapToGrid w:val="0"/>
        </w:rPr>
        <w:t xml:space="preserve">Casual </w:t>
      </w:r>
      <w:r w:rsidR="00DE5F59">
        <w:rPr>
          <w:rFonts w:asciiTheme="minorHAnsi" w:hAnsiTheme="minorHAnsi" w:cstheme="minorHAnsi"/>
          <w:b/>
          <w:snapToGrid w:val="0"/>
        </w:rPr>
        <w:t>role – hours will include weekdays, weekends and occasional evenings</w:t>
      </w:r>
    </w:p>
    <w:p w14:paraId="366C6F00" w14:textId="2D9AA126" w:rsidR="00E32AAC" w:rsidRPr="008D0A9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DE5F59">
        <w:rPr>
          <w:rFonts w:asciiTheme="minorHAnsi" w:hAnsiTheme="minorHAnsi" w:cstheme="minorHAnsi"/>
          <w:b/>
          <w:snapToGrid w:val="0"/>
        </w:rPr>
        <w:t>February 2026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455C8F8C" w14:textId="77777777" w:rsidR="00DE5F59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</w:p>
    <w:p w14:paraId="7942A306" w14:textId="77777777" w:rsidR="00DE5F59" w:rsidRDefault="00DE5F59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</w:p>
    <w:p w14:paraId="59B02B83" w14:textId="77777777" w:rsidR="00766082" w:rsidRDefault="00766082" w:rsidP="00766082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Reporting to the Food and Beverage Supervisor, this casual worker will deliver excellent customer service mainly </w:t>
      </w:r>
      <w:r w:rsidRPr="005A56D0">
        <w:rPr>
          <w:rFonts w:ascii="Calibri" w:hAnsi="Calibri"/>
        </w:rPr>
        <w:t>within W5’s</w:t>
      </w:r>
      <w:r w:rsidRPr="00A714AA">
        <w:rPr>
          <w:rFonts w:ascii="Calibri" w:hAnsi="Calibri"/>
        </w:rPr>
        <w:t xml:space="preserve"> </w:t>
      </w:r>
      <w:r>
        <w:rPr>
          <w:rFonts w:ascii="Calibri" w:hAnsi="Calibri"/>
        </w:rPr>
        <w:t>Café and Coffee dock areas and also supporting the food and beverage offering for corporate events across the site.</w:t>
      </w:r>
      <w:r w:rsidRPr="001D63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This </w:t>
      </w:r>
      <w:r w:rsidRPr="001D63E7">
        <w:rPr>
          <w:rFonts w:ascii="Calibri" w:hAnsi="Calibri"/>
        </w:rPr>
        <w:t>includ</w:t>
      </w:r>
      <w:r>
        <w:rPr>
          <w:rFonts w:ascii="Calibri" w:hAnsi="Calibri"/>
        </w:rPr>
        <w:t>es</w:t>
      </w:r>
      <w:r w:rsidRPr="001D63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but not limited to queue times, </w:t>
      </w:r>
      <w:r w:rsidRPr="001D63E7">
        <w:rPr>
          <w:rFonts w:ascii="Calibri" w:hAnsi="Calibri"/>
        </w:rPr>
        <w:t>sp</w:t>
      </w:r>
      <w:r>
        <w:rPr>
          <w:rFonts w:ascii="Calibri" w:hAnsi="Calibri"/>
        </w:rPr>
        <w:t>eed of service, product knowledge</w:t>
      </w:r>
      <w:r w:rsidRPr="001D63E7">
        <w:rPr>
          <w:rFonts w:ascii="Calibri" w:hAnsi="Calibri"/>
        </w:rPr>
        <w:t xml:space="preserve"> as well as complaint</w:t>
      </w:r>
      <w:r>
        <w:rPr>
          <w:rFonts w:ascii="Calibri" w:hAnsi="Calibri"/>
        </w:rPr>
        <w:t xml:space="preserve"> handling. The role requires the highest level of customer care.</w:t>
      </w:r>
    </w:p>
    <w:p w14:paraId="335413E5" w14:textId="261B759E" w:rsidR="009435F4" w:rsidRPr="00766082" w:rsidRDefault="00F97900" w:rsidP="00766082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ab/>
      </w: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Pr="008D0A9C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2E00CA03" w14:textId="77777777" w:rsidR="00EA4AB8" w:rsidRDefault="00EA4AB8" w:rsidP="00E32AAC">
      <w:pPr>
        <w:rPr>
          <w:rFonts w:asciiTheme="minorHAnsi" w:hAnsiTheme="minorHAnsi" w:cstheme="minorHAnsi"/>
          <w:b/>
        </w:rPr>
      </w:pPr>
    </w:p>
    <w:p w14:paraId="33397B15" w14:textId="77777777" w:rsidR="00732F7D" w:rsidRDefault="00732F7D" w:rsidP="00732F7D">
      <w:pPr>
        <w:numPr>
          <w:ilvl w:val="0"/>
          <w:numId w:val="17"/>
        </w:numPr>
        <w:rPr>
          <w:rFonts w:ascii="Calibri" w:hAnsi="Calibri"/>
          <w:snapToGrid w:val="0"/>
        </w:rPr>
      </w:pPr>
      <w:r w:rsidRPr="00492ED8">
        <w:rPr>
          <w:rFonts w:ascii="Calibri" w:hAnsi="Calibri"/>
          <w:snapToGrid w:val="0"/>
        </w:rPr>
        <w:t>Deliver the highest level of customer</w:t>
      </w:r>
      <w:r>
        <w:rPr>
          <w:rFonts w:ascii="Calibri" w:hAnsi="Calibri"/>
          <w:snapToGrid w:val="0"/>
        </w:rPr>
        <w:t xml:space="preserve"> care and</w:t>
      </w:r>
      <w:r w:rsidRPr="00492ED8">
        <w:rPr>
          <w:rFonts w:ascii="Calibri" w:hAnsi="Calibri"/>
          <w:snapToGrid w:val="0"/>
        </w:rPr>
        <w:t xml:space="preserve"> ser</w:t>
      </w:r>
      <w:r>
        <w:rPr>
          <w:rFonts w:ascii="Calibri" w:hAnsi="Calibri"/>
          <w:snapToGrid w:val="0"/>
        </w:rPr>
        <w:t>vice customers</w:t>
      </w:r>
      <w:r w:rsidRPr="00492ED8">
        <w:rPr>
          <w:rFonts w:ascii="Calibri" w:hAnsi="Calibri"/>
          <w:snapToGrid w:val="0"/>
        </w:rPr>
        <w:t>, in a courteous, profession</w:t>
      </w:r>
      <w:r>
        <w:rPr>
          <w:rFonts w:ascii="Calibri" w:hAnsi="Calibri"/>
          <w:snapToGrid w:val="0"/>
        </w:rPr>
        <w:t>al, and efficient manner</w:t>
      </w:r>
    </w:p>
    <w:p w14:paraId="3F339059" w14:textId="77777777" w:rsidR="00732F7D" w:rsidRPr="00191B49" w:rsidRDefault="00732F7D" w:rsidP="00732F7D">
      <w:pPr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Assist in the setup and delivery of key corporate events within the Odyssey Group</w:t>
      </w:r>
    </w:p>
    <w:p w14:paraId="38357741" w14:textId="77777777" w:rsidR="00732F7D" w:rsidRPr="00492ED8" w:rsidRDefault="00732F7D" w:rsidP="00732F7D">
      <w:pPr>
        <w:numPr>
          <w:ilvl w:val="0"/>
          <w:numId w:val="17"/>
        </w:numPr>
        <w:rPr>
          <w:rFonts w:ascii="Calibri" w:hAnsi="Calibri"/>
          <w:snapToGrid w:val="0"/>
        </w:rPr>
      </w:pPr>
      <w:r w:rsidRPr="00492ED8">
        <w:rPr>
          <w:rFonts w:ascii="Calibri" w:hAnsi="Calibri"/>
          <w:snapToGrid w:val="0"/>
        </w:rPr>
        <w:t xml:space="preserve">Assist </w:t>
      </w:r>
      <w:r>
        <w:rPr>
          <w:rFonts w:ascii="Calibri" w:hAnsi="Calibri"/>
          <w:snapToGrid w:val="0"/>
        </w:rPr>
        <w:t xml:space="preserve">colleagues and managers </w:t>
      </w:r>
      <w:r w:rsidRPr="00A714AA">
        <w:rPr>
          <w:rFonts w:ascii="Calibri" w:hAnsi="Calibri"/>
          <w:snapToGrid w:val="0"/>
        </w:rPr>
        <w:t>within W5 and the wider Odyssey Group</w:t>
      </w:r>
      <w:r w:rsidRPr="00492ED8">
        <w:rPr>
          <w:rFonts w:ascii="Calibri" w:hAnsi="Calibri"/>
          <w:snapToGrid w:val="0"/>
        </w:rPr>
        <w:t>, main</w:t>
      </w:r>
      <w:r>
        <w:rPr>
          <w:rFonts w:ascii="Calibri" w:hAnsi="Calibri"/>
          <w:snapToGrid w:val="0"/>
        </w:rPr>
        <w:t>taining good relationships</w:t>
      </w:r>
    </w:p>
    <w:p w14:paraId="762CD90B" w14:textId="77777777" w:rsidR="00732F7D" w:rsidRDefault="00732F7D" w:rsidP="00732F7D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Ensure excellent presentation of all Food &amp; Beverage areas, adhering to highest standards of cleanliness and hygiene including completion of all necessary paperwork</w:t>
      </w:r>
    </w:p>
    <w:p w14:paraId="318F726F" w14:textId="77777777" w:rsidR="00732F7D" w:rsidRDefault="00732F7D" w:rsidP="00732F7D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This casual role will require an element of food preparation in line with the current offering in our café and coffee docks outlets</w:t>
      </w:r>
    </w:p>
    <w:p w14:paraId="6725D47A" w14:textId="77777777" w:rsidR="00732F7D" w:rsidRPr="002D2DB0" w:rsidRDefault="00732F7D" w:rsidP="00732F7D">
      <w:pPr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This role</w:t>
      </w:r>
      <w:r w:rsidRPr="002D2DB0">
        <w:rPr>
          <w:rFonts w:ascii="Calibri" w:hAnsi="Calibri"/>
          <w:snapToGrid w:val="0"/>
        </w:rPr>
        <w:t xml:space="preserve"> will a</w:t>
      </w:r>
      <w:r>
        <w:rPr>
          <w:rFonts w:ascii="Calibri" w:hAnsi="Calibri"/>
          <w:snapToGrid w:val="0"/>
        </w:rPr>
        <w:t>ssist</w:t>
      </w:r>
      <w:r w:rsidRPr="002D2DB0">
        <w:rPr>
          <w:rFonts w:ascii="Calibri" w:hAnsi="Calibri"/>
          <w:snapToGrid w:val="0"/>
        </w:rPr>
        <w:t xml:space="preserve"> in all areas of stock management, maintaining optimum s</w:t>
      </w:r>
      <w:r>
        <w:rPr>
          <w:rFonts w:ascii="Calibri" w:hAnsi="Calibri"/>
          <w:snapToGrid w:val="0"/>
        </w:rPr>
        <w:t>tock levels for business needs</w:t>
      </w:r>
    </w:p>
    <w:p w14:paraId="31554974" w14:textId="77777777" w:rsidR="00732F7D" w:rsidRDefault="00732F7D" w:rsidP="00732F7D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FD08B8">
        <w:rPr>
          <w:rFonts w:ascii="Calibri" w:hAnsi="Calibri"/>
          <w:snapToGrid w:val="0"/>
        </w:rPr>
        <w:t xml:space="preserve">The </w:t>
      </w:r>
      <w:r>
        <w:rPr>
          <w:rFonts w:ascii="Calibri" w:hAnsi="Calibri"/>
          <w:snapToGrid w:val="0"/>
        </w:rPr>
        <w:t xml:space="preserve">casual </w:t>
      </w:r>
      <w:r w:rsidRPr="00FD08B8">
        <w:rPr>
          <w:rFonts w:ascii="Calibri" w:hAnsi="Calibri"/>
          <w:snapToGrid w:val="0"/>
        </w:rPr>
        <w:t>role will require</w:t>
      </w:r>
      <w:r>
        <w:rPr>
          <w:rFonts w:ascii="Calibri" w:hAnsi="Calibri"/>
          <w:snapToGrid w:val="0"/>
        </w:rPr>
        <w:t xml:space="preserve"> an element of</w:t>
      </w:r>
      <w:r w:rsidRPr="00FD08B8">
        <w:rPr>
          <w:rFonts w:ascii="Calibri" w:hAnsi="Calibri"/>
          <w:snapToGrid w:val="0"/>
        </w:rPr>
        <w:t xml:space="preserve"> general adminis</w:t>
      </w:r>
      <w:r>
        <w:rPr>
          <w:rFonts w:ascii="Calibri" w:hAnsi="Calibri"/>
          <w:snapToGrid w:val="0"/>
        </w:rPr>
        <w:t xml:space="preserve">trative duties including </w:t>
      </w:r>
      <w:r w:rsidRPr="00FD08B8">
        <w:rPr>
          <w:rFonts w:ascii="Calibri" w:hAnsi="Calibri"/>
          <w:snapToGrid w:val="0"/>
        </w:rPr>
        <w:t>cash handling procedures</w:t>
      </w:r>
    </w:p>
    <w:p w14:paraId="2FEFA7A8" w14:textId="77777777" w:rsidR="00732F7D" w:rsidRDefault="00732F7D" w:rsidP="00732F7D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lastRenderedPageBreak/>
        <w:t xml:space="preserve">You will be expected to work in conjunction with various departments, specifically close working relations with the </w:t>
      </w:r>
      <w:r w:rsidRPr="00F64E7D">
        <w:rPr>
          <w:rFonts w:ascii="Calibri" w:hAnsi="Calibri"/>
          <w:snapToGrid w:val="0"/>
        </w:rPr>
        <w:t>Visitor</w:t>
      </w:r>
      <w:r>
        <w:rPr>
          <w:rFonts w:ascii="Calibri" w:hAnsi="Calibri"/>
          <w:snapToGrid w:val="0"/>
        </w:rPr>
        <w:t xml:space="preserve"> S</w:t>
      </w:r>
      <w:r w:rsidRPr="00F64E7D">
        <w:rPr>
          <w:rFonts w:ascii="Calibri" w:hAnsi="Calibri"/>
          <w:snapToGrid w:val="0"/>
        </w:rPr>
        <w:t>ervice</w:t>
      </w:r>
      <w:r>
        <w:rPr>
          <w:rFonts w:ascii="Calibri" w:hAnsi="Calibri"/>
          <w:snapToGrid w:val="0"/>
        </w:rPr>
        <w:t>s and Facilities</w:t>
      </w:r>
      <w:r w:rsidRPr="00F64E7D">
        <w:rPr>
          <w:rFonts w:ascii="Calibri" w:hAnsi="Calibri"/>
          <w:snapToGrid w:val="0"/>
        </w:rPr>
        <w:t xml:space="preserve"> team</w:t>
      </w:r>
      <w:r>
        <w:rPr>
          <w:rFonts w:ascii="Calibri" w:hAnsi="Calibri"/>
          <w:snapToGrid w:val="0"/>
        </w:rPr>
        <w:t>s</w:t>
      </w:r>
      <w:r w:rsidRPr="00F64E7D">
        <w:rPr>
          <w:rFonts w:ascii="Calibri" w:hAnsi="Calibri"/>
          <w:snapToGrid w:val="0"/>
        </w:rPr>
        <w:t xml:space="preserve"> to ensure BEET is </w:t>
      </w:r>
      <w:r>
        <w:rPr>
          <w:rFonts w:ascii="Calibri" w:hAnsi="Calibri"/>
          <w:snapToGrid w:val="0"/>
        </w:rPr>
        <w:t>delivered</w:t>
      </w:r>
    </w:p>
    <w:p w14:paraId="17FF9A92" w14:textId="77777777" w:rsidR="00732F7D" w:rsidRPr="004F3CA8" w:rsidRDefault="00732F7D" w:rsidP="00732F7D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You must demonstrate a high standard of personal hygiene and appearance</w:t>
      </w:r>
    </w:p>
    <w:p w14:paraId="51DCD455" w14:textId="0A4A7E3F" w:rsidR="00EA4AB8" w:rsidRPr="00732F7D" w:rsidRDefault="00732F7D" w:rsidP="00E32AAC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605348">
        <w:rPr>
          <w:rFonts w:ascii="Calibri" w:hAnsi="Calibri"/>
        </w:rPr>
        <w:t>Any other duties as requested by your Line Manager</w:t>
      </w: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7CE044F1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8D0A9C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5A9BF487" w14:textId="76C4BEC9" w:rsidR="0067335F" w:rsidRDefault="006823C7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Essential Criteria</w:t>
      </w:r>
    </w:p>
    <w:p w14:paraId="0D410153" w14:textId="77777777" w:rsidR="001249E5" w:rsidRDefault="001249E5" w:rsidP="001249E5">
      <w:pPr>
        <w:numPr>
          <w:ilvl w:val="0"/>
          <w:numId w:val="20"/>
        </w:numPr>
        <w:contextualSpacing/>
        <w:rPr>
          <w:rFonts w:ascii="Calibri" w:hAnsi="Calibri"/>
        </w:rPr>
      </w:pPr>
      <w:r>
        <w:rPr>
          <w:rFonts w:ascii="Calibri" w:hAnsi="Calibri"/>
        </w:rPr>
        <w:t>Deliver our core ideology of BEET</w:t>
      </w:r>
    </w:p>
    <w:p w14:paraId="11DC7DDC" w14:textId="77777777" w:rsidR="001249E5" w:rsidRDefault="001249E5" w:rsidP="001249E5">
      <w:pPr>
        <w:numPr>
          <w:ilvl w:val="0"/>
          <w:numId w:val="20"/>
        </w:numPr>
        <w:contextualSpacing/>
        <w:rPr>
          <w:rFonts w:ascii="Calibri" w:hAnsi="Calibri"/>
        </w:rPr>
      </w:pPr>
      <w:r w:rsidRPr="00A23EFF">
        <w:rPr>
          <w:rFonts w:ascii="Calibri" w:hAnsi="Calibri"/>
        </w:rPr>
        <w:t>Willingness to be flexible, work flexible hours, including evenings and weekends.</w:t>
      </w:r>
    </w:p>
    <w:p w14:paraId="4B473F19" w14:textId="77777777" w:rsidR="0045714D" w:rsidRPr="008D0A9C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Desirable Criteria</w:t>
      </w:r>
    </w:p>
    <w:p w14:paraId="7D1555FC" w14:textId="77777777" w:rsidR="00A714F4" w:rsidRDefault="00A714F4" w:rsidP="00A714F4">
      <w:pPr>
        <w:numPr>
          <w:ilvl w:val="0"/>
          <w:numId w:val="20"/>
        </w:numPr>
        <w:contextualSpacing/>
        <w:rPr>
          <w:rFonts w:ascii="Calibri" w:hAnsi="Calibri"/>
        </w:rPr>
      </w:pPr>
      <w:r>
        <w:rPr>
          <w:rFonts w:ascii="Calibri" w:hAnsi="Calibri"/>
        </w:rPr>
        <w:t>Experience of working at and setting up corporate events e.g. functions &amp; outside catering</w:t>
      </w:r>
    </w:p>
    <w:p w14:paraId="47818939" w14:textId="1D617213" w:rsidR="0088168A" w:rsidRPr="005E61DA" w:rsidRDefault="0088168A" w:rsidP="00A714F4">
      <w:pPr>
        <w:numPr>
          <w:ilvl w:val="0"/>
          <w:numId w:val="20"/>
        </w:numPr>
        <w:contextualSpacing/>
        <w:rPr>
          <w:rFonts w:ascii="Calibri" w:hAnsi="Calibri"/>
        </w:rPr>
      </w:pPr>
      <w:r>
        <w:rPr>
          <w:rFonts w:ascii="Calibri" w:hAnsi="Calibri"/>
        </w:rPr>
        <w:t>Barista experience in a coffee shop or similar hospitality setting.</w:t>
      </w:r>
    </w:p>
    <w:p w14:paraId="57BC3E5C" w14:textId="77777777" w:rsidR="00C26EDF" w:rsidRPr="008D0A9C" w:rsidRDefault="00C26EDF" w:rsidP="0045714D">
      <w:pPr>
        <w:rPr>
          <w:rFonts w:asciiTheme="minorHAnsi" w:hAnsiTheme="minorHAnsi" w:cstheme="minorHAnsi"/>
        </w:rPr>
      </w:pPr>
    </w:p>
    <w:p w14:paraId="3E3D14BF" w14:textId="77777777" w:rsidR="00C26EDF" w:rsidRDefault="00C26EDF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8D0A9C">
        <w:rPr>
          <w:rFonts w:asciiTheme="minorHAnsi" w:hAnsiTheme="minorHAnsi" w:cstheme="minorHAnsi"/>
          <w:b/>
          <w:i/>
          <w:snapToGrid w:val="0"/>
        </w:rPr>
        <w:t>Salary</w:t>
      </w:r>
    </w:p>
    <w:p w14:paraId="25E27504" w14:textId="77777777" w:rsidR="00A714F4" w:rsidRDefault="00A714F4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235F0AEB" w14:textId="63B7136F" w:rsidR="00A714F4" w:rsidRPr="00A714F4" w:rsidRDefault="00A714F4" w:rsidP="00C26EDF">
      <w:pPr>
        <w:widowControl w:val="0"/>
        <w:rPr>
          <w:rFonts w:asciiTheme="minorHAnsi" w:hAnsiTheme="minorHAnsi" w:cstheme="minorHAnsi"/>
          <w:bCs/>
          <w:iCs/>
          <w:snapToGrid w:val="0"/>
        </w:rPr>
      </w:pPr>
      <w:r>
        <w:rPr>
          <w:rFonts w:asciiTheme="minorHAnsi" w:hAnsiTheme="minorHAnsi" w:cstheme="minorHAnsi"/>
          <w:bCs/>
          <w:iCs/>
          <w:snapToGrid w:val="0"/>
        </w:rPr>
        <w:t>£12.25 per hour</w:t>
      </w:r>
    </w:p>
    <w:p w14:paraId="0478D8DD" w14:textId="77777777" w:rsidR="00C26EDF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sectPr w:rsidR="00C26EDF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DB65" w14:textId="77777777" w:rsidR="00210AD5" w:rsidRDefault="00210AD5" w:rsidP="00750566">
      <w:r>
        <w:separator/>
      </w:r>
    </w:p>
  </w:endnote>
  <w:endnote w:type="continuationSeparator" w:id="0">
    <w:p w14:paraId="0EF59F58" w14:textId="77777777" w:rsidR="00210AD5" w:rsidRDefault="00210AD5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AE68" w14:textId="77777777" w:rsidR="00210AD5" w:rsidRDefault="00210AD5" w:rsidP="00750566">
      <w:r>
        <w:separator/>
      </w:r>
    </w:p>
  </w:footnote>
  <w:footnote w:type="continuationSeparator" w:id="0">
    <w:p w14:paraId="5CC5F7CC" w14:textId="77777777" w:rsidR="00210AD5" w:rsidRDefault="00210AD5" w:rsidP="007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2733E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2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6"/>
  </w:num>
  <w:num w:numId="2" w16cid:durableId="936908823">
    <w:abstractNumId w:val="7"/>
  </w:num>
  <w:num w:numId="3" w16cid:durableId="1429809115">
    <w:abstractNumId w:val="21"/>
  </w:num>
  <w:num w:numId="4" w16cid:durableId="762070460">
    <w:abstractNumId w:val="12"/>
  </w:num>
  <w:num w:numId="5" w16cid:durableId="2032484428">
    <w:abstractNumId w:val="23"/>
  </w:num>
  <w:num w:numId="6" w16cid:durableId="16949214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8"/>
  </w:num>
  <w:num w:numId="8" w16cid:durableId="1924680544">
    <w:abstractNumId w:val="10"/>
  </w:num>
  <w:num w:numId="9" w16cid:durableId="1617329567">
    <w:abstractNumId w:val="27"/>
  </w:num>
  <w:num w:numId="10" w16cid:durableId="459425148">
    <w:abstractNumId w:val="14"/>
  </w:num>
  <w:num w:numId="11" w16cid:durableId="1493789580">
    <w:abstractNumId w:val="5"/>
  </w:num>
  <w:num w:numId="12" w16cid:durableId="810488433">
    <w:abstractNumId w:val="35"/>
  </w:num>
  <w:num w:numId="13" w16cid:durableId="1021247972">
    <w:abstractNumId w:val="16"/>
  </w:num>
  <w:num w:numId="14" w16cid:durableId="1146893824">
    <w:abstractNumId w:val="25"/>
  </w:num>
  <w:num w:numId="15" w16cid:durableId="1699430276">
    <w:abstractNumId w:val="4"/>
  </w:num>
  <w:num w:numId="16" w16cid:durableId="2011332129">
    <w:abstractNumId w:val="24"/>
  </w:num>
  <w:num w:numId="17" w16cid:durableId="243413645">
    <w:abstractNumId w:val="30"/>
  </w:num>
  <w:num w:numId="18" w16cid:durableId="69161938">
    <w:abstractNumId w:val="18"/>
  </w:num>
  <w:num w:numId="19" w16cid:durableId="1615866128">
    <w:abstractNumId w:val="1"/>
  </w:num>
  <w:num w:numId="20" w16cid:durableId="131099158">
    <w:abstractNumId w:val="32"/>
  </w:num>
  <w:num w:numId="21" w16cid:durableId="587538680">
    <w:abstractNumId w:val="26"/>
  </w:num>
  <w:num w:numId="22" w16cid:durableId="248272872">
    <w:abstractNumId w:val="0"/>
  </w:num>
  <w:num w:numId="23" w16cid:durableId="880744905">
    <w:abstractNumId w:val="22"/>
  </w:num>
  <w:num w:numId="24" w16cid:durableId="1700351583">
    <w:abstractNumId w:val="12"/>
  </w:num>
  <w:num w:numId="25" w16cid:durableId="2128085542">
    <w:abstractNumId w:val="2"/>
  </w:num>
  <w:num w:numId="26" w16cid:durableId="885988084">
    <w:abstractNumId w:val="17"/>
  </w:num>
  <w:num w:numId="27" w16cid:durableId="1367675582">
    <w:abstractNumId w:val="31"/>
  </w:num>
  <w:num w:numId="28" w16cid:durableId="1666979617">
    <w:abstractNumId w:val="3"/>
  </w:num>
  <w:num w:numId="29" w16cid:durableId="1176187028">
    <w:abstractNumId w:val="29"/>
  </w:num>
  <w:num w:numId="30" w16cid:durableId="1364868397">
    <w:abstractNumId w:val="15"/>
  </w:num>
  <w:num w:numId="31" w16cid:durableId="585576843">
    <w:abstractNumId w:val="9"/>
  </w:num>
  <w:num w:numId="32" w16cid:durableId="1485702478">
    <w:abstractNumId w:val="34"/>
  </w:num>
  <w:num w:numId="33" w16cid:durableId="834564989">
    <w:abstractNumId w:val="20"/>
  </w:num>
  <w:num w:numId="34" w16cid:durableId="1632007651">
    <w:abstractNumId w:val="33"/>
  </w:num>
  <w:num w:numId="35" w16cid:durableId="1106925343">
    <w:abstractNumId w:val="11"/>
  </w:num>
  <w:num w:numId="36" w16cid:durableId="1592157848">
    <w:abstractNumId w:val="19"/>
  </w:num>
  <w:num w:numId="37" w16cid:durableId="555698111">
    <w:abstractNumId w:val="8"/>
  </w:num>
  <w:num w:numId="38" w16cid:durableId="67600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46DE"/>
    <w:rsid w:val="0002711E"/>
    <w:rsid w:val="00032835"/>
    <w:rsid w:val="000341B0"/>
    <w:rsid w:val="00037FEC"/>
    <w:rsid w:val="0004445B"/>
    <w:rsid w:val="00045367"/>
    <w:rsid w:val="00050264"/>
    <w:rsid w:val="00054E5F"/>
    <w:rsid w:val="00096118"/>
    <w:rsid w:val="000B3A83"/>
    <w:rsid w:val="000B3BA5"/>
    <w:rsid w:val="000B3D4F"/>
    <w:rsid w:val="000C25F8"/>
    <w:rsid w:val="000C39AA"/>
    <w:rsid w:val="000D0C50"/>
    <w:rsid w:val="000E217F"/>
    <w:rsid w:val="000F080B"/>
    <w:rsid w:val="000F27F0"/>
    <w:rsid w:val="000F3F26"/>
    <w:rsid w:val="00101FE7"/>
    <w:rsid w:val="0010474E"/>
    <w:rsid w:val="0010725D"/>
    <w:rsid w:val="001100BE"/>
    <w:rsid w:val="001249E5"/>
    <w:rsid w:val="001306A9"/>
    <w:rsid w:val="00133A6B"/>
    <w:rsid w:val="00145642"/>
    <w:rsid w:val="001517BA"/>
    <w:rsid w:val="001561F2"/>
    <w:rsid w:val="00162B9D"/>
    <w:rsid w:val="00181FD4"/>
    <w:rsid w:val="00196283"/>
    <w:rsid w:val="001E6D7D"/>
    <w:rsid w:val="00210AD5"/>
    <w:rsid w:val="00217980"/>
    <w:rsid w:val="00225BDB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879DD"/>
    <w:rsid w:val="00294D5D"/>
    <w:rsid w:val="00295B7D"/>
    <w:rsid w:val="002A6211"/>
    <w:rsid w:val="002C4002"/>
    <w:rsid w:val="00300F45"/>
    <w:rsid w:val="003156FC"/>
    <w:rsid w:val="00342FEA"/>
    <w:rsid w:val="003467EC"/>
    <w:rsid w:val="00353F39"/>
    <w:rsid w:val="00354CAC"/>
    <w:rsid w:val="0036636A"/>
    <w:rsid w:val="003772CC"/>
    <w:rsid w:val="003814A1"/>
    <w:rsid w:val="003A124E"/>
    <w:rsid w:val="003A2B36"/>
    <w:rsid w:val="003A6E30"/>
    <w:rsid w:val="003A7E09"/>
    <w:rsid w:val="003B0F45"/>
    <w:rsid w:val="003B205E"/>
    <w:rsid w:val="003D00ED"/>
    <w:rsid w:val="003D2894"/>
    <w:rsid w:val="003D32CB"/>
    <w:rsid w:val="003D50F8"/>
    <w:rsid w:val="003D6077"/>
    <w:rsid w:val="003E5A73"/>
    <w:rsid w:val="003F0FF7"/>
    <w:rsid w:val="004019C4"/>
    <w:rsid w:val="00433543"/>
    <w:rsid w:val="0045714D"/>
    <w:rsid w:val="00460B55"/>
    <w:rsid w:val="00473FCB"/>
    <w:rsid w:val="004B01B8"/>
    <w:rsid w:val="004B0C45"/>
    <w:rsid w:val="004B1762"/>
    <w:rsid w:val="004B287A"/>
    <w:rsid w:val="004B2AB4"/>
    <w:rsid w:val="004B732B"/>
    <w:rsid w:val="004C2085"/>
    <w:rsid w:val="004D57F0"/>
    <w:rsid w:val="004E0465"/>
    <w:rsid w:val="004E297B"/>
    <w:rsid w:val="004E3E6F"/>
    <w:rsid w:val="00503905"/>
    <w:rsid w:val="00512B62"/>
    <w:rsid w:val="00522595"/>
    <w:rsid w:val="0053369D"/>
    <w:rsid w:val="005374C9"/>
    <w:rsid w:val="005772AF"/>
    <w:rsid w:val="0058234D"/>
    <w:rsid w:val="005831FC"/>
    <w:rsid w:val="00592A9B"/>
    <w:rsid w:val="005A5F45"/>
    <w:rsid w:val="005B01B5"/>
    <w:rsid w:val="005B4B0D"/>
    <w:rsid w:val="005D05F1"/>
    <w:rsid w:val="005D76B2"/>
    <w:rsid w:val="005E56FE"/>
    <w:rsid w:val="005E6C8A"/>
    <w:rsid w:val="005E7581"/>
    <w:rsid w:val="005F302E"/>
    <w:rsid w:val="005F3E77"/>
    <w:rsid w:val="005F5BF1"/>
    <w:rsid w:val="005F66DE"/>
    <w:rsid w:val="00605348"/>
    <w:rsid w:val="00613010"/>
    <w:rsid w:val="00624DD2"/>
    <w:rsid w:val="00661F7D"/>
    <w:rsid w:val="00666B72"/>
    <w:rsid w:val="0067335F"/>
    <w:rsid w:val="00680758"/>
    <w:rsid w:val="006823C7"/>
    <w:rsid w:val="00691AA0"/>
    <w:rsid w:val="00692FF1"/>
    <w:rsid w:val="006A260C"/>
    <w:rsid w:val="006A5380"/>
    <w:rsid w:val="006B3199"/>
    <w:rsid w:val="006C5F3E"/>
    <w:rsid w:val="006D2391"/>
    <w:rsid w:val="006D5245"/>
    <w:rsid w:val="006E01EB"/>
    <w:rsid w:val="006E182B"/>
    <w:rsid w:val="006E5B8B"/>
    <w:rsid w:val="006E7178"/>
    <w:rsid w:val="006F6EB6"/>
    <w:rsid w:val="006F7024"/>
    <w:rsid w:val="006F704E"/>
    <w:rsid w:val="007103FE"/>
    <w:rsid w:val="0072147E"/>
    <w:rsid w:val="0072545F"/>
    <w:rsid w:val="00732F7D"/>
    <w:rsid w:val="00736134"/>
    <w:rsid w:val="0074115C"/>
    <w:rsid w:val="00744AFB"/>
    <w:rsid w:val="00745B1E"/>
    <w:rsid w:val="00750566"/>
    <w:rsid w:val="00750E6E"/>
    <w:rsid w:val="00753C55"/>
    <w:rsid w:val="00766082"/>
    <w:rsid w:val="007668CA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7C39"/>
    <w:rsid w:val="007F17BA"/>
    <w:rsid w:val="00802DAF"/>
    <w:rsid w:val="00816B76"/>
    <w:rsid w:val="008341AA"/>
    <w:rsid w:val="008347FC"/>
    <w:rsid w:val="00841640"/>
    <w:rsid w:val="00853BA8"/>
    <w:rsid w:val="00867281"/>
    <w:rsid w:val="00872A16"/>
    <w:rsid w:val="0088168A"/>
    <w:rsid w:val="00885252"/>
    <w:rsid w:val="008953FD"/>
    <w:rsid w:val="00897DBE"/>
    <w:rsid w:val="008A18F7"/>
    <w:rsid w:val="008C426E"/>
    <w:rsid w:val="008D0931"/>
    <w:rsid w:val="008D0A9C"/>
    <w:rsid w:val="008E13D4"/>
    <w:rsid w:val="008E3669"/>
    <w:rsid w:val="008E5201"/>
    <w:rsid w:val="008E6EE2"/>
    <w:rsid w:val="00906E71"/>
    <w:rsid w:val="00916F0E"/>
    <w:rsid w:val="009302E5"/>
    <w:rsid w:val="00930FDA"/>
    <w:rsid w:val="009435F4"/>
    <w:rsid w:val="00955D92"/>
    <w:rsid w:val="00962861"/>
    <w:rsid w:val="00981113"/>
    <w:rsid w:val="00987F74"/>
    <w:rsid w:val="00992934"/>
    <w:rsid w:val="009940A3"/>
    <w:rsid w:val="009A43C5"/>
    <w:rsid w:val="009D1440"/>
    <w:rsid w:val="009E0E22"/>
    <w:rsid w:val="009E7C7C"/>
    <w:rsid w:val="00A042B0"/>
    <w:rsid w:val="00A171FB"/>
    <w:rsid w:val="00A2275B"/>
    <w:rsid w:val="00A502D0"/>
    <w:rsid w:val="00A5350C"/>
    <w:rsid w:val="00A53FFD"/>
    <w:rsid w:val="00A66715"/>
    <w:rsid w:val="00A714F4"/>
    <w:rsid w:val="00A721A5"/>
    <w:rsid w:val="00A74693"/>
    <w:rsid w:val="00A77515"/>
    <w:rsid w:val="00A91CD7"/>
    <w:rsid w:val="00AC1C8C"/>
    <w:rsid w:val="00AC28DD"/>
    <w:rsid w:val="00AC5C26"/>
    <w:rsid w:val="00AD0D94"/>
    <w:rsid w:val="00AF1E11"/>
    <w:rsid w:val="00AF6508"/>
    <w:rsid w:val="00B15C81"/>
    <w:rsid w:val="00B213C4"/>
    <w:rsid w:val="00B31E77"/>
    <w:rsid w:val="00B330E5"/>
    <w:rsid w:val="00B34D78"/>
    <w:rsid w:val="00B4116C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B705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A3914"/>
    <w:rsid w:val="00CB349E"/>
    <w:rsid w:val="00CC45C7"/>
    <w:rsid w:val="00CD139A"/>
    <w:rsid w:val="00CD4061"/>
    <w:rsid w:val="00CD5FA7"/>
    <w:rsid w:val="00CD62ED"/>
    <w:rsid w:val="00CD6BA8"/>
    <w:rsid w:val="00CE5364"/>
    <w:rsid w:val="00D02F04"/>
    <w:rsid w:val="00D0455B"/>
    <w:rsid w:val="00D31673"/>
    <w:rsid w:val="00D41AE4"/>
    <w:rsid w:val="00D46FCD"/>
    <w:rsid w:val="00D47776"/>
    <w:rsid w:val="00D5076F"/>
    <w:rsid w:val="00D53F68"/>
    <w:rsid w:val="00D603BB"/>
    <w:rsid w:val="00D66797"/>
    <w:rsid w:val="00D71264"/>
    <w:rsid w:val="00D77BC5"/>
    <w:rsid w:val="00D83CA5"/>
    <w:rsid w:val="00DC5652"/>
    <w:rsid w:val="00DE4980"/>
    <w:rsid w:val="00DE5F59"/>
    <w:rsid w:val="00DF14CA"/>
    <w:rsid w:val="00E12268"/>
    <w:rsid w:val="00E1261B"/>
    <w:rsid w:val="00E129E2"/>
    <w:rsid w:val="00E13BA2"/>
    <w:rsid w:val="00E140AB"/>
    <w:rsid w:val="00E2744F"/>
    <w:rsid w:val="00E32AAC"/>
    <w:rsid w:val="00E40EED"/>
    <w:rsid w:val="00E4421A"/>
    <w:rsid w:val="00E462B2"/>
    <w:rsid w:val="00E52F07"/>
    <w:rsid w:val="00E5450D"/>
    <w:rsid w:val="00E61073"/>
    <w:rsid w:val="00E72231"/>
    <w:rsid w:val="00E757B7"/>
    <w:rsid w:val="00E76084"/>
    <w:rsid w:val="00E826BC"/>
    <w:rsid w:val="00E9501E"/>
    <w:rsid w:val="00EA0627"/>
    <w:rsid w:val="00EA4AB8"/>
    <w:rsid w:val="00EA72F4"/>
    <w:rsid w:val="00EC765B"/>
    <w:rsid w:val="00EF18C5"/>
    <w:rsid w:val="00F11C63"/>
    <w:rsid w:val="00F142D9"/>
    <w:rsid w:val="00F150FE"/>
    <w:rsid w:val="00F15667"/>
    <w:rsid w:val="00F43A40"/>
    <w:rsid w:val="00F47EEE"/>
    <w:rsid w:val="00F631F9"/>
    <w:rsid w:val="00F67510"/>
    <w:rsid w:val="00F80FAE"/>
    <w:rsid w:val="00F82F00"/>
    <w:rsid w:val="00F8558B"/>
    <w:rsid w:val="00F97900"/>
    <w:rsid w:val="00FA795F"/>
    <w:rsid w:val="00FC5774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be4a5a7277ba3098b57cbdbc8045ff7c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665a728a7a22fe17a1fea4c1c1ca60de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4.xml><?xml version="1.0" encoding="utf-8"?>
<ds:datastoreItem xmlns:ds="http://schemas.openxmlformats.org/officeDocument/2006/customXml" ds:itemID="{ABE07A6E-2E67-42FB-A93F-6F6B640B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3400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12</cp:revision>
  <cp:lastPrinted>2023-03-01T16:07:00Z</cp:lastPrinted>
  <dcterms:created xsi:type="dcterms:W3CDTF">2026-02-20T13:48:00Z</dcterms:created>
  <dcterms:modified xsi:type="dcterms:W3CDTF">2026-02-20T16:34:00Z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