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Default="006823C7" w:rsidP="003D2894">
      <w:pPr>
        <w:pStyle w:val="Heading8"/>
        <w:spacing w:before="0" w:after="0"/>
        <w:rPr>
          <w:bCs/>
          <w:i w:val="0"/>
          <w:sz w:val="22"/>
          <w:szCs w:val="22"/>
        </w:rPr>
      </w:pPr>
      <w:r w:rsidRPr="00FE4FE7">
        <w:rPr>
          <w:bCs/>
          <w:i w:val="0"/>
          <w:sz w:val="22"/>
          <w:szCs w:val="22"/>
        </w:rPr>
        <w:t>JOB DESCRIPTION</w:t>
      </w:r>
    </w:p>
    <w:p w14:paraId="10525996" w14:textId="77777777" w:rsidR="00FF5E96" w:rsidRDefault="00FF5E96" w:rsidP="00FF5E96"/>
    <w:p w14:paraId="3354B225" w14:textId="16F8ACDE" w:rsidR="00FF5E96" w:rsidRPr="00FF5E96" w:rsidRDefault="00DF14CA" w:rsidP="00FF5E96">
      <w:r>
        <w:t>P</w:t>
      </w:r>
      <w:r w:rsidR="00606CF3">
        <w:t>ersonal Assistant (PA) to the Chief Executive Officer</w:t>
      </w:r>
    </w:p>
    <w:p w14:paraId="6841D26F" w14:textId="77777777" w:rsidR="004E3E6F" w:rsidRPr="00FE4FE7" w:rsidRDefault="004E3E6F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4032E9D4" w14:textId="1D8BBCC0" w:rsidR="0053369D" w:rsidRPr="00FE4FE7" w:rsidRDefault="0016216A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LOCATION</w:t>
      </w:r>
      <w:r w:rsidR="0053369D" w:rsidRPr="00FE4FE7">
        <w:rPr>
          <w:rFonts w:ascii="Calibri" w:hAnsi="Calibri"/>
          <w:b/>
          <w:snapToGrid w:val="0"/>
          <w:sz w:val="22"/>
          <w:szCs w:val="22"/>
        </w:rPr>
        <w:t>:</w:t>
      </w:r>
      <w:r w:rsidR="0053369D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53369D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606CF3">
        <w:rPr>
          <w:rFonts w:ascii="Calibri" w:hAnsi="Calibri"/>
          <w:b/>
          <w:snapToGrid w:val="0"/>
          <w:sz w:val="22"/>
          <w:szCs w:val="22"/>
        </w:rPr>
        <w:tab/>
      </w:r>
      <w:r w:rsidR="00606CF3">
        <w:rPr>
          <w:rFonts w:ascii="Calibri" w:hAnsi="Calibri"/>
          <w:b/>
          <w:snapToGrid w:val="0"/>
          <w:sz w:val="22"/>
          <w:szCs w:val="22"/>
        </w:rPr>
        <w:tab/>
        <w:t>Odyssey Complex, Belfast</w:t>
      </w:r>
      <w:r w:rsidR="0053369D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F80FAE">
        <w:rPr>
          <w:rFonts w:ascii="Calibri" w:hAnsi="Calibri"/>
          <w:b/>
          <w:snapToGrid w:val="0"/>
          <w:sz w:val="22"/>
          <w:szCs w:val="22"/>
        </w:rPr>
        <w:tab/>
      </w:r>
      <w:r w:rsidR="00032835">
        <w:rPr>
          <w:rFonts w:ascii="Calibri" w:hAnsi="Calibri"/>
          <w:b/>
          <w:snapToGrid w:val="0"/>
          <w:sz w:val="22"/>
          <w:szCs w:val="22"/>
        </w:rPr>
        <w:tab/>
      </w:r>
      <w:r w:rsidR="0053369D"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704209CE" w14:textId="6FEE9707" w:rsidR="0053369D" w:rsidRDefault="0053369D" w:rsidP="00BA064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REPO</w:t>
      </w:r>
      <w:r w:rsidR="0016216A">
        <w:rPr>
          <w:rFonts w:ascii="Calibri" w:hAnsi="Calibri"/>
          <w:b/>
          <w:snapToGrid w:val="0"/>
          <w:sz w:val="22"/>
          <w:szCs w:val="22"/>
        </w:rPr>
        <w:t>RTING</w:t>
      </w:r>
      <w:r w:rsidRPr="00FE4FE7">
        <w:rPr>
          <w:rFonts w:ascii="Calibri" w:hAnsi="Calibri"/>
          <w:b/>
          <w:snapToGrid w:val="0"/>
          <w:sz w:val="22"/>
          <w:szCs w:val="22"/>
        </w:rPr>
        <w:t xml:space="preserve"> TO: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16216A">
        <w:rPr>
          <w:rFonts w:ascii="Calibri" w:hAnsi="Calibri"/>
          <w:b/>
          <w:snapToGrid w:val="0"/>
          <w:sz w:val="22"/>
          <w:szCs w:val="22"/>
        </w:rPr>
        <w:tab/>
        <w:t>Chief Executive Officer (CEO)</w:t>
      </w:r>
    </w:p>
    <w:p w14:paraId="50039A9A" w14:textId="4B23D936" w:rsidR="00B63B0F" w:rsidRPr="00FE4FE7" w:rsidRDefault="00B63B0F" w:rsidP="00BA064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SALARY:</w:t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  <w:t>£35,000 per annum</w:t>
      </w:r>
    </w:p>
    <w:p w14:paraId="16B47A8A" w14:textId="77777777" w:rsidR="00554EDE" w:rsidRDefault="00E53F3E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CONTRACT TYPE</w:t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  <w:t>Full-time, Permanent</w:t>
      </w:r>
    </w:p>
    <w:p w14:paraId="307F0B03" w14:textId="06966681" w:rsidR="003467EC" w:rsidRPr="00FE4FE7" w:rsidRDefault="00554EDE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HOURS:</w:t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  <w:t>37.5 hours per week (flexible approach required)</w:t>
      </w:r>
      <w:r w:rsidR="00955D92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14D65094" w14:textId="57200BF3" w:rsidR="0053369D" w:rsidRPr="00FE4FE7" w:rsidRDefault="00554EDE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START </w:t>
      </w:r>
      <w:r w:rsidR="00D46FCD" w:rsidRPr="00FE4FE7">
        <w:rPr>
          <w:rFonts w:ascii="Calibri" w:hAnsi="Calibri"/>
          <w:b/>
          <w:snapToGrid w:val="0"/>
          <w:sz w:val="22"/>
          <w:szCs w:val="22"/>
        </w:rPr>
        <w:t>DATE:</w:t>
      </w:r>
      <w:r w:rsidR="00D46FCD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D46FCD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D46FCD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6636A" w:rsidRPr="00FE4FE7"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>Immediate</w:t>
      </w:r>
    </w:p>
    <w:p w14:paraId="7CDDF31C" w14:textId="77777777" w:rsidR="0053369D" w:rsidRPr="00FE4FE7" w:rsidRDefault="0053369D" w:rsidP="0053369D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69C485F6" w14:textId="77777777" w:rsidR="0053369D" w:rsidRPr="00FE4FE7" w:rsidRDefault="0053369D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OVERALL PURPOSE OF THE JOB:</w:t>
      </w:r>
      <w:r w:rsidR="00F97900"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335413E5" w14:textId="77777777" w:rsidR="009435F4" w:rsidRDefault="009435F4" w:rsidP="008E3669">
      <w:pPr>
        <w:contextualSpacing/>
        <w:jc w:val="both"/>
        <w:rPr>
          <w:rFonts w:ascii="Calibri" w:hAnsi="Calibri"/>
          <w:sz w:val="22"/>
          <w:szCs w:val="22"/>
        </w:rPr>
      </w:pPr>
    </w:p>
    <w:p w14:paraId="627C14DB" w14:textId="77777777" w:rsidR="00885E21" w:rsidRPr="00885E21" w:rsidRDefault="00885E21" w:rsidP="00885E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E21">
        <w:rPr>
          <w:rFonts w:asciiTheme="minorHAnsi" w:hAnsiTheme="minorHAnsi" w:cstheme="minorHAnsi"/>
          <w:b/>
          <w:bCs/>
          <w:sz w:val="22"/>
          <w:szCs w:val="22"/>
        </w:rPr>
        <w:t>About The Odyssey Trust</w:t>
      </w:r>
    </w:p>
    <w:p w14:paraId="4D390953" w14:textId="77777777" w:rsidR="00885E21" w:rsidRPr="00885E21" w:rsidRDefault="00885E21" w:rsidP="00885E21">
      <w:pPr>
        <w:rPr>
          <w:rFonts w:asciiTheme="minorHAnsi" w:hAnsiTheme="minorHAnsi" w:cstheme="minorHAnsi"/>
          <w:sz w:val="22"/>
          <w:szCs w:val="22"/>
        </w:rPr>
      </w:pPr>
      <w:r w:rsidRPr="00885E21">
        <w:rPr>
          <w:rFonts w:asciiTheme="minorHAnsi" w:hAnsiTheme="minorHAnsi" w:cstheme="minorHAnsi"/>
          <w:sz w:val="22"/>
          <w:szCs w:val="22"/>
        </w:rPr>
        <w:t>The Odyssey Trust is a leading not-for-profit organisation that owns and operates the Odyssey Complex – one of Northern Ireland’s most iconic destinations for science, sport, entertainment and education.</w:t>
      </w:r>
    </w:p>
    <w:p w14:paraId="472B5AEC" w14:textId="10FD9A0D" w:rsidR="00300614" w:rsidRPr="00FE4FE7" w:rsidRDefault="00885E21" w:rsidP="00300614">
      <w:pPr>
        <w:rPr>
          <w:rFonts w:ascii="Calibri" w:hAnsi="Calibri"/>
          <w:sz w:val="22"/>
          <w:szCs w:val="22"/>
        </w:rPr>
      </w:pPr>
      <w:r w:rsidRPr="00885E21">
        <w:rPr>
          <w:rFonts w:asciiTheme="minorHAnsi" w:hAnsiTheme="minorHAnsi" w:cstheme="minorHAnsi"/>
          <w:sz w:val="22"/>
          <w:szCs w:val="22"/>
        </w:rPr>
        <w:t xml:space="preserve">Home to the SSE Arena, W5 Science &amp; Discovery Centre, and the Belfast Giants ice hockey team, the Odyssey Complex welcomes millions of visitors each year. As a charity, we reinvest in our facilities, people, and programmes to deliver lasting benefit to the local community and the wider region. We are committed </w:t>
      </w:r>
      <w:r w:rsidR="00300614">
        <w:rPr>
          <w:rFonts w:asciiTheme="minorHAnsi" w:hAnsiTheme="minorHAnsi" w:cstheme="minorHAnsi"/>
          <w:sz w:val="22"/>
          <w:szCs w:val="22"/>
        </w:rPr>
        <w:t>to innovation, inclusion and creating world-class experiences for everyone who comes through our doors</w:t>
      </w:r>
    </w:p>
    <w:p w14:paraId="3B8C16C0" w14:textId="77777777" w:rsidR="004E3E6F" w:rsidRDefault="004E3E6F" w:rsidP="008E3669">
      <w:pPr>
        <w:jc w:val="both"/>
        <w:rPr>
          <w:rFonts w:ascii="Calibri" w:hAnsi="Calibri"/>
          <w:sz w:val="22"/>
          <w:szCs w:val="22"/>
        </w:rPr>
      </w:pPr>
    </w:p>
    <w:p w14:paraId="4164EE15" w14:textId="77777777" w:rsidR="00AE2A45" w:rsidRPr="00AE2A45" w:rsidRDefault="00AE2A45" w:rsidP="00AE2A45">
      <w:pPr>
        <w:rPr>
          <w:rFonts w:asciiTheme="minorHAnsi" w:hAnsiTheme="minorHAnsi" w:cstheme="minorHAnsi"/>
          <w:sz w:val="22"/>
          <w:szCs w:val="22"/>
        </w:rPr>
      </w:pPr>
      <w:r w:rsidRPr="00AE2A45">
        <w:rPr>
          <w:rFonts w:asciiTheme="minorHAnsi" w:hAnsiTheme="minorHAnsi" w:cstheme="minorHAnsi"/>
          <w:b/>
          <w:bCs/>
          <w:sz w:val="22"/>
          <w:szCs w:val="22"/>
        </w:rPr>
        <w:t>About the Role</w:t>
      </w:r>
    </w:p>
    <w:p w14:paraId="580E705F" w14:textId="5398D3D2" w:rsidR="00AE2A45" w:rsidRPr="00AE2A45" w:rsidRDefault="00AE2A45" w:rsidP="00AE2A45">
      <w:pPr>
        <w:rPr>
          <w:rFonts w:asciiTheme="minorHAnsi" w:hAnsiTheme="minorHAnsi" w:cstheme="minorHAnsi"/>
          <w:sz w:val="22"/>
          <w:szCs w:val="22"/>
        </w:rPr>
      </w:pPr>
      <w:r w:rsidRPr="00AE2A45">
        <w:rPr>
          <w:rFonts w:asciiTheme="minorHAnsi" w:hAnsiTheme="minorHAnsi" w:cstheme="minorHAnsi"/>
          <w:sz w:val="22"/>
          <w:szCs w:val="22"/>
        </w:rPr>
        <w:t>We’re seeking a highly organised, professional to support the Chief Executive Officer (CEO), while also providing additional support to the Chief Operating Officer (COO) and wider Senior Executive Team as needed.</w:t>
      </w:r>
    </w:p>
    <w:p w14:paraId="3CF9D70F" w14:textId="77777777" w:rsidR="00AE2A45" w:rsidRPr="00AE2A45" w:rsidRDefault="00AE2A45" w:rsidP="00AE2A45">
      <w:pPr>
        <w:rPr>
          <w:rFonts w:asciiTheme="minorHAnsi" w:hAnsiTheme="minorHAnsi" w:cstheme="minorHAnsi"/>
          <w:sz w:val="22"/>
          <w:szCs w:val="22"/>
        </w:rPr>
      </w:pPr>
      <w:r w:rsidRPr="00AE2A45">
        <w:rPr>
          <w:rFonts w:asciiTheme="minorHAnsi" w:hAnsiTheme="minorHAnsi" w:cstheme="minorHAnsi"/>
          <w:sz w:val="22"/>
          <w:szCs w:val="22"/>
        </w:rPr>
        <w:t>This is a busy, dynamic role at the heart of the organisation, where no two days are the same. You'll act as a key point of contact for the CEO and senior leadership, helping to manage their time, communications, and priorities. The right person will bring exceptional organisational skills, good judgement, a calm and discreet manner, and the ability to handle high-level confidential information with professionalism.</w:t>
      </w:r>
    </w:p>
    <w:p w14:paraId="7C193507" w14:textId="3399E0B7" w:rsidR="00AE2A45" w:rsidRPr="00AE2A45" w:rsidRDefault="00AE2A45" w:rsidP="00AE2A45">
      <w:pPr>
        <w:jc w:val="both"/>
        <w:rPr>
          <w:rFonts w:asciiTheme="minorHAnsi" w:hAnsiTheme="minorHAnsi" w:cstheme="minorHAnsi"/>
          <w:sz w:val="22"/>
          <w:szCs w:val="22"/>
        </w:rPr>
      </w:pPr>
      <w:r w:rsidRPr="00AE2A45">
        <w:rPr>
          <w:rFonts w:asciiTheme="minorHAnsi" w:hAnsiTheme="minorHAnsi" w:cstheme="minorHAnsi"/>
          <w:sz w:val="22"/>
          <w:szCs w:val="22"/>
        </w:rPr>
        <w:t>You</w:t>
      </w:r>
      <w:r w:rsidR="00D75541">
        <w:rPr>
          <w:rFonts w:asciiTheme="minorHAnsi" w:hAnsiTheme="minorHAnsi" w:cstheme="minorHAnsi"/>
          <w:sz w:val="22"/>
          <w:szCs w:val="22"/>
        </w:rPr>
        <w:t xml:space="preserve"> wi</w:t>
      </w:r>
      <w:r w:rsidRPr="00AE2A45">
        <w:rPr>
          <w:rFonts w:asciiTheme="minorHAnsi" w:hAnsiTheme="minorHAnsi" w:cstheme="minorHAnsi"/>
          <w:sz w:val="22"/>
          <w:szCs w:val="22"/>
        </w:rPr>
        <w:t>ll also work closely with other internal teams, board members, external partners and</w:t>
      </w:r>
      <w:r>
        <w:rPr>
          <w:rFonts w:asciiTheme="minorHAnsi" w:hAnsiTheme="minorHAnsi" w:cstheme="minorHAnsi"/>
          <w:sz w:val="22"/>
          <w:szCs w:val="22"/>
        </w:rPr>
        <w:t xml:space="preserve"> stakeholders – representing the Executive Office with confidence and care.</w:t>
      </w:r>
    </w:p>
    <w:p w14:paraId="3560156B" w14:textId="77777777" w:rsidR="00E64647" w:rsidRPr="00FE4FE7" w:rsidRDefault="00E64647" w:rsidP="008E3669">
      <w:pPr>
        <w:jc w:val="both"/>
        <w:rPr>
          <w:rFonts w:ascii="Calibri" w:hAnsi="Calibri"/>
          <w:sz w:val="22"/>
          <w:szCs w:val="22"/>
        </w:rPr>
      </w:pPr>
    </w:p>
    <w:p w14:paraId="0851A66F" w14:textId="77777777" w:rsidR="008E3669" w:rsidRDefault="008E3669" w:rsidP="008E3669">
      <w:pPr>
        <w:contextualSpacing/>
        <w:jc w:val="both"/>
        <w:rPr>
          <w:rFonts w:ascii="Calibri" w:hAnsi="Calibri"/>
          <w:sz w:val="22"/>
          <w:szCs w:val="22"/>
        </w:rPr>
      </w:pPr>
      <w:bookmarkStart w:id="0" w:name="_Hlk29904888"/>
      <w:r w:rsidRPr="00FE4FE7">
        <w:rPr>
          <w:rFonts w:ascii="Calibri" w:hAnsi="Calibri"/>
          <w:sz w:val="22"/>
          <w:szCs w:val="22"/>
        </w:rPr>
        <w:t xml:space="preserve">The Odyssey Trust group of companies is committed to the core ideology of BEET, Best Experience Every Time for </w:t>
      </w:r>
      <w:r w:rsidR="00E5450D" w:rsidRPr="00FE4FE7">
        <w:rPr>
          <w:rFonts w:ascii="Calibri" w:hAnsi="Calibri"/>
          <w:sz w:val="22"/>
          <w:szCs w:val="22"/>
        </w:rPr>
        <w:t>c</w:t>
      </w:r>
      <w:r w:rsidRPr="00FE4FE7">
        <w:rPr>
          <w:rFonts w:ascii="Calibri" w:hAnsi="Calibri"/>
          <w:sz w:val="22"/>
          <w:szCs w:val="22"/>
        </w:rPr>
        <w:t>ustomers</w:t>
      </w:r>
      <w:r w:rsidR="00E5450D" w:rsidRPr="00FE4FE7">
        <w:rPr>
          <w:rFonts w:ascii="Calibri" w:hAnsi="Calibri"/>
          <w:sz w:val="22"/>
          <w:szCs w:val="22"/>
        </w:rPr>
        <w:t>, c</w:t>
      </w:r>
      <w:r w:rsidRPr="00FE4FE7">
        <w:rPr>
          <w:rFonts w:ascii="Calibri" w:hAnsi="Calibri"/>
          <w:sz w:val="22"/>
          <w:szCs w:val="22"/>
        </w:rPr>
        <w:t>olleagues</w:t>
      </w:r>
      <w:r w:rsidR="00E5450D" w:rsidRPr="00FE4FE7">
        <w:rPr>
          <w:rFonts w:ascii="Calibri" w:hAnsi="Calibri"/>
          <w:sz w:val="22"/>
          <w:szCs w:val="22"/>
        </w:rPr>
        <w:t xml:space="preserve"> and stakeholder</w:t>
      </w:r>
      <w:r w:rsidR="00E9501E" w:rsidRPr="00FE4FE7">
        <w:rPr>
          <w:rFonts w:ascii="Calibri" w:hAnsi="Calibri"/>
          <w:sz w:val="22"/>
          <w:szCs w:val="22"/>
        </w:rPr>
        <w:t>s</w:t>
      </w:r>
      <w:r w:rsidR="004B01B8" w:rsidRPr="00FE4FE7">
        <w:rPr>
          <w:rFonts w:ascii="Calibri" w:hAnsi="Calibri"/>
          <w:sz w:val="22"/>
          <w:szCs w:val="22"/>
        </w:rPr>
        <w:t>.  T</w:t>
      </w:r>
      <w:r w:rsidRPr="00FE4FE7">
        <w:rPr>
          <w:rFonts w:ascii="Calibri" w:hAnsi="Calibri"/>
          <w:sz w:val="22"/>
          <w:szCs w:val="22"/>
        </w:rPr>
        <w:t xml:space="preserve">hese principles will be developed with all </w:t>
      </w:r>
      <w:r w:rsidR="00E5450D" w:rsidRPr="00FE4FE7">
        <w:rPr>
          <w:rFonts w:ascii="Calibri" w:hAnsi="Calibri"/>
          <w:sz w:val="22"/>
          <w:szCs w:val="22"/>
        </w:rPr>
        <w:t>t</w:t>
      </w:r>
      <w:r w:rsidRPr="00FE4FE7">
        <w:rPr>
          <w:rFonts w:ascii="Calibri" w:hAnsi="Calibri"/>
          <w:sz w:val="22"/>
          <w:szCs w:val="22"/>
        </w:rPr>
        <w:t>o support outstanding customer</w:t>
      </w:r>
      <w:r w:rsidR="00C238AE" w:rsidRPr="00FE4FE7">
        <w:rPr>
          <w:rFonts w:ascii="Calibri" w:hAnsi="Calibri"/>
          <w:sz w:val="22"/>
          <w:szCs w:val="22"/>
        </w:rPr>
        <w:t xml:space="preserve"> service</w:t>
      </w:r>
      <w:r w:rsidRPr="00FE4FE7">
        <w:rPr>
          <w:rFonts w:ascii="Calibri" w:hAnsi="Calibri"/>
          <w:sz w:val="22"/>
          <w:szCs w:val="22"/>
        </w:rPr>
        <w:t xml:space="preserve">.  All </w:t>
      </w:r>
      <w:r w:rsidR="009435F4" w:rsidRPr="00FE4FE7">
        <w:rPr>
          <w:rFonts w:ascii="Calibri" w:hAnsi="Calibri"/>
          <w:sz w:val="22"/>
          <w:szCs w:val="22"/>
        </w:rPr>
        <w:t xml:space="preserve">colleagues </w:t>
      </w:r>
      <w:r w:rsidRPr="00FE4FE7">
        <w:rPr>
          <w:rFonts w:ascii="Calibri" w:hAnsi="Calibri"/>
          <w:sz w:val="22"/>
          <w:szCs w:val="22"/>
        </w:rPr>
        <w:t>are expected to commit to the core values shown below</w:t>
      </w:r>
      <w:r w:rsidR="00C238AE" w:rsidRPr="00FE4FE7">
        <w:rPr>
          <w:rFonts w:ascii="Calibri" w:hAnsi="Calibri"/>
          <w:sz w:val="22"/>
          <w:szCs w:val="22"/>
        </w:rPr>
        <w:t>:</w:t>
      </w:r>
    </w:p>
    <w:p w14:paraId="39DB2C6A" w14:textId="77777777" w:rsidR="00027018" w:rsidRDefault="00027018" w:rsidP="008E3669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007EBE86" w14:textId="77777777" w:rsidR="00027018" w:rsidRPr="00FE4FE7" w:rsidRDefault="00027018" w:rsidP="008E3669">
      <w:pPr>
        <w:contextualSpacing/>
        <w:jc w:val="both"/>
        <w:rPr>
          <w:rFonts w:ascii="Calibri" w:hAnsi="Calibri"/>
          <w:b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What it means for 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Customer</w:t>
            </w: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</w:p>
        </w:tc>
      </w:tr>
      <w:tr w:rsidR="008E3669" w:rsidRPr="00FE4FE7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Smile, can do</w:t>
            </w:r>
            <w:r w:rsidR="00EA72F4" w:rsidRPr="00FE4FE7">
              <w:rPr>
                <w:rFonts w:ascii="Calibri" w:eastAsia="Calibri" w:hAnsi="Calibr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be trustworthy &amp; respectful</w:t>
            </w:r>
          </w:p>
        </w:tc>
      </w:tr>
      <w:tr w:rsidR="008E3669" w:rsidRPr="00FE4FE7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go the extra mile</w:t>
            </w:r>
          </w:p>
        </w:tc>
      </w:tr>
      <w:tr w:rsidR="008E3669" w:rsidRPr="00FE4FE7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learn &amp; improve</w:t>
            </w:r>
          </w:p>
        </w:tc>
      </w:tr>
      <w:tr w:rsidR="008E3669" w:rsidRPr="00FE4FE7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work together to put you first</w:t>
            </w:r>
          </w:p>
        </w:tc>
      </w:tr>
    </w:tbl>
    <w:p w14:paraId="1192D4E3" w14:textId="77777777" w:rsidR="008E3669" w:rsidRDefault="008E3669" w:rsidP="007E16CA">
      <w:pPr>
        <w:rPr>
          <w:rFonts w:ascii="Calibri" w:hAnsi="Calibri"/>
          <w:sz w:val="22"/>
          <w:szCs w:val="22"/>
        </w:rPr>
      </w:pPr>
    </w:p>
    <w:p w14:paraId="4E1C97DC" w14:textId="77777777" w:rsidR="00027018" w:rsidRDefault="00027018" w:rsidP="007E16CA">
      <w:pPr>
        <w:rPr>
          <w:rFonts w:ascii="Calibri" w:hAnsi="Calibri"/>
          <w:sz w:val="22"/>
          <w:szCs w:val="22"/>
        </w:rPr>
      </w:pPr>
    </w:p>
    <w:p w14:paraId="60104E87" w14:textId="77777777" w:rsidR="00027018" w:rsidRDefault="00027018" w:rsidP="007E16CA">
      <w:pPr>
        <w:rPr>
          <w:rFonts w:ascii="Calibri" w:hAnsi="Calibri"/>
          <w:sz w:val="22"/>
          <w:szCs w:val="22"/>
        </w:rPr>
      </w:pPr>
    </w:p>
    <w:p w14:paraId="0B4886D7" w14:textId="77777777" w:rsidR="00027018" w:rsidRDefault="00027018" w:rsidP="007E16CA">
      <w:pPr>
        <w:rPr>
          <w:rFonts w:ascii="Calibri" w:hAnsi="Calibri"/>
          <w:sz w:val="22"/>
          <w:szCs w:val="22"/>
        </w:rPr>
      </w:pPr>
    </w:p>
    <w:p w14:paraId="0818A514" w14:textId="77777777" w:rsidR="00027018" w:rsidRDefault="00027018" w:rsidP="007E16CA">
      <w:pPr>
        <w:rPr>
          <w:rFonts w:ascii="Calibri" w:hAnsi="Calibri"/>
          <w:sz w:val="22"/>
          <w:szCs w:val="22"/>
        </w:rPr>
      </w:pPr>
    </w:p>
    <w:p w14:paraId="6C230550" w14:textId="77777777" w:rsidR="00027018" w:rsidRDefault="00027018" w:rsidP="007E16CA">
      <w:pPr>
        <w:rPr>
          <w:rFonts w:ascii="Calibri" w:hAnsi="Calibri"/>
          <w:sz w:val="22"/>
          <w:szCs w:val="22"/>
        </w:rPr>
      </w:pPr>
    </w:p>
    <w:p w14:paraId="25E318B6" w14:textId="77777777" w:rsidR="00027018" w:rsidRPr="00FE4FE7" w:rsidRDefault="00027018" w:rsidP="007E16CA">
      <w:pPr>
        <w:rPr>
          <w:rFonts w:ascii="Calibri" w:hAnsi="Calibri"/>
          <w:sz w:val="22"/>
          <w:szCs w:val="22"/>
        </w:rPr>
      </w:pPr>
    </w:p>
    <w:p w14:paraId="48FDCCCD" w14:textId="77777777" w:rsidR="008E3669" w:rsidRPr="00FE4FE7" w:rsidRDefault="008E3669" w:rsidP="007E16CA">
      <w:pPr>
        <w:rPr>
          <w:rFonts w:ascii="Calibri" w:hAnsi="Calibri"/>
          <w:sz w:val="22"/>
          <w:szCs w:val="22"/>
        </w:rPr>
      </w:pPr>
    </w:p>
    <w:p w14:paraId="4BA6A120" w14:textId="77777777" w:rsidR="001100BE" w:rsidRDefault="006823C7" w:rsidP="001100BE">
      <w:pPr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b/>
          <w:sz w:val="22"/>
          <w:szCs w:val="22"/>
        </w:rPr>
        <w:t>MA</w:t>
      </w:r>
      <w:r w:rsidR="0053369D" w:rsidRPr="00FE4FE7">
        <w:rPr>
          <w:rFonts w:ascii="Calibri" w:hAnsi="Calibri"/>
          <w:b/>
          <w:sz w:val="22"/>
          <w:szCs w:val="22"/>
        </w:rPr>
        <w:t>IN DUTIES</w:t>
      </w:r>
    </w:p>
    <w:p w14:paraId="6B21EDCF" w14:textId="77777777" w:rsidR="00300614" w:rsidRDefault="00300614" w:rsidP="001100BE">
      <w:pPr>
        <w:rPr>
          <w:rFonts w:ascii="Calibri" w:hAnsi="Calibri"/>
          <w:b/>
          <w:sz w:val="22"/>
          <w:szCs w:val="22"/>
        </w:rPr>
      </w:pPr>
    </w:p>
    <w:p w14:paraId="7FECE1BB" w14:textId="4CFEDA88" w:rsidR="00300614" w:rsidRPr="00FE4FE7" w:rsidRDefault="00300614" w:rsidP="001100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Executive Support</w:t>
      </w:r>
    </w:p>
    <w:p w14:paraId="52801B7F" w14:textId="77777777" w:rsidR="00853BA8" w:rsidRPr="00FE4FE7" w:rsidRDefault="00853BA8" w:rsidP="00853BA8">
      <w:pPr>
        <w:jc w:val="both"/>
        <w:rPr>
          <w:rFonts w:ascii="Calibri" w:hAnsi="Calibri"/>
          <w:sz w:val="22"/>
          <w:szCs w:val="22"/>
        </w:rPr>
      </w:pPr>
    </w:p>
    <w:p w14:paraId="29486220" w14:textId="77777777" w:rsidR="00027018" w:rsidRPr="00C25223" w:rsidRDefault="00027018" w:rsidP="00027018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Provide comprehensive, confidential administrative support to the CEO, including diary management, travel coordination, and inbox management.</w:t>
      </w:r>
    </w:p>
    <w:p w14:paraId="58E91D72" w14:textId="77777777" w:rsidR="00027018" w:rsidRPr="00C25223" w:rsidRDefault="00027018" w:rsidP="00027018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Proactively support the COO and Senior Executive Team in managing key priorities, meetings, and administrative tasks.</w:t>
      </w:r>
    </w:p>
    <w:p w14:paraId="021B849F" w14:textId="77777777" w:rsidR="00027018" w:rsidRPr="00C25223" w:rsidRDefault="00027018" w:rsidP="00027018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Prepare agendas, attend meetings, take accurate minutes, and ensure follow-up actions are completed in a timely manner.</w:t>
      </w:r>
    </w:p>
    <w:p w14:paraId="74BB71F2" w14:textId="77777777" w:rsidR="00027018" w:rsidRPr="00C25223" w:rsidRDefault="00027018" w:rsidP="00027018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Draft and format reports, briefings, presentations, and correspondence for internal and external use.</w:t>
      </w:r>
    </w:p>
    <w:p w14:paraId="560F34DF" w14:textId="77777777" w:rsidR="00027018" w:rsidRPr="00C25223" w:rsidRDefault="00027018" w:rsidP="00027018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Ensure the CEO and Executive Team are well-prepared for all engagements, with relevant materials, background information and briefing documents.</w:t>
      </w:r>
    </w:p>
    <w:p w14:paraId="17ABACEF" w14:textId="364994C8" w:rsidR="00853BA8" w:rsidRPr="00C25223" w:rsidRDefault="00496588" w:rsidP="00027018">
      <w:pPr>
        <w:widowControl w:val="0"/>
        <w:ind w:left="360"/>
        <w:rPr>
          <w:rFonts w:ascii="Calibri" w:hAnsi="Calibri"/>
          <w:b/>
          <w:bCs/>
          <w:snapToGrid w:val="0"/>
        </w:rPr>
      </w:pPr>
      <w:r w:rsidRPr="00C25223">
        <w:rPr>
          <w:rFonts w:ascii="Calibri" w:hAnsi="Calibri"/>
          <w:b/>
          <w:bCs/>
          <w:snapToGrid w:val="0"/>
        </w:rPr>
        <w:t>Communication and Co-ordination</w:t>
      </w:r>
    </w:p>
    <w:p w14:paraId="2ECFE6C1" w14:textId="77777777" w:rsidR="00496588" w:rsidRPr="00FE4FE7" w:rsidRDefault="00496588" w:rsidP="00027018">
      <w:pPr>
        <w:widowControl w:val="0"/>
        <w:ind w:left="360"/>
        <w:rPr>
          <w:rFonts w:ascii="Calibri" w:hAnsi="Calibri"/>
          <w:snapToGrid w:val="0"/>
          <w:sz w:val="22"/>
          <w:szCs w:val="22"/>
        </w:rPr>
      </w:pPr>
    </w:p>
    <w:p w14:paraId="4AB78DAA" w14:textId="77777777" w:rsidR="00C25223" w:rsidRPr="00C25223" w:rsidRDefault="00C25223" w:rsidP="00C25223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Act as a first point of contact for the Executive Office – handling internal and external queries with professionalism, confidentiality, and efficiency.</w:t>
      </w:r>
    </w:p>
    <w:p w14:paraId="7EC2822E" w14:textId="77777777" w:rsidR="00C25223" w:rsidRPr="00C25223" w:rsidRDefault="00C25223" w:rsidP="00C25223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Manage complex calendars and respond to meeting requests, prioritising effectively across the Executive Team.</w:t>
      </w:r>
    </w:p>
    <w:p w14:paraId="07090D3C" w14:textId="77777777" w:rsidR="00C25223" w:rsidRPr="00C25223" w:rsidRDefault="00C25223" w:rsidP="00C25223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Liaise with stakeholders, board members, external agencies, funders and partners on behalf of the CEO and COO.</w:t>
      </w:r>
    </w:p>
    <w:p w14:paraId="014D6748" w14:textId="77777777" w:rsidR="00C25223" w:rsidRPr="00C25223" w:rsidRDefault="00C25223" w:rsidP="00C25223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25223">
        <w:rPr>
          <w:rFonts w:asciiTheme="minorHAnsi" w:hAnsiTheme="minorHAnsi" w:cstheme="minorHAnsi"/>
          <w:sz w:val="22"/>
          <w:szCs w:val="22"/>
        </w:rPr>
        <w:t>Coordinate smooth communication between Executive leadership and the wider organisation.</w:t>
      </w:r>
    </w:p>
    <w:p w14:paraId="5C68039E" w14:textId="77777777" w:rsidR="00496137" w:rsidRDefault="00496137" w:rsidP="00C25223">
      <w:pPr>
        <w:widowControl w:val="0"/>
        <w:ind w:left="360"/>
        <w:rPr>
          <w:rFonts w:ascii="Calibri" w:hAnsi="Calibri"/>
          <w:snapToGrid w:val="0"/>
          <w:sz w:val="22"/>
          <w:szCs w:val="22"/>
        </w:rPr>
      </w:pPr>
    </w:p>
    <w:p w14:paraId="30F86CAA" w14:textId="39967735" w:rsidR="00496137" w:rsidRPr="00BA6B55" w:rsidRDefault="00496137" w:rsidP="00C25223">
      <w:pPr>
        <w:widowControl w:val="0"/>
        <w:ind w:left="360"/>
        <w:rPr>
          <w:rFonts w:ascii="Calibri" w:hAnsi="Calibri"/>
          <w:b/>
          <w:bCs/>
          <w:snapToGrid w:val="0"/>
          <w:sz w:val="22"/>
          <w:szCs w:val="22"/>
        </w:rPr>
      </w:pPr>
      <w:r w:rsidRPr="00BA6B55">
        <w:rPr>
          <w:rFonts w:ascii="Calibri" w:hAnsi="Calibri"/>
          <w:b/>
          <w:bCs/>
          <w:snapToGrid w:val="0"/>
          <w:sz w:val="22"/>
          <w:szCs w:val="22"/>
        </w:rPr>
        <w:t>Governance and Project Support</w:t>
      </w:r>
    </w:p>
    <w:p w14:paraId="42705033" w14:textId="77777777" w:rsidR="00496137" w:rsidRPr="00FE4FE7" w:rsidRDefault="00496137" w:rsidP="00C25223">
      <w:pPr>
        <w:widowControl w:val="0"/>
        <w:ind w:left="360"/>
        <w:rPr>
          <w:rFonts w:ascii="Calibri" w:hAnsi="Calibri"/>
          <w:snapToGrid w:val="0"/>
          <w:sz w:val="22"/>
          <w:szCs w:val="22"/>
        </w:rPr>
      </w:pPr>
    </w:p>
    <w:p w14:paraId="06327327" w14:textId="77777777" w:rsidR="003605B4" w:rsidRPr="003605B4" w:rsidRDefault="003605B4" w:rsidP="003605B4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605B4">
        <w:rPr>
          <w:rFonts w:asciiTheme="minorHAnsi" w:hAnsiTheme="minorHAnsi" w:cstheme="minorHAnsi"/>
          <w:sz w:val="22"/>
          <w:szCs w:val="22"/>
        </w:rPr>
        <w:t>Assist with the preparation and distribution of board papers, committee packs and other governance documentation.</w:t>
      </w:r>
    </w:p>
    <w:p w14:paraId="58785DA8" w14:textId="77777777" w:rsidR="003605B4" w:rsidRPr="003605B4" w:rsidRDefault="003605B4" w:rsidP="003605B4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605B4">
        <w:rPr>
          <w:rFonts w:asciiTheme="minorHAnsi" w:hAnsiTheme="minorHAnsi" w:cstheme="minorHAnsi"/>
          <w:sz w:val="22"/>
          <w:szCs w:val="22"/>
        </w:rPr>
        <w:t>Support planning and logistics for executive-led projects, strategic planning sessions and away days.</w:t>
      </w:r>
    </w:p>
    <w:p w14:paraId="1CADE29B" w14:textId="77777777" w:rsidR="003605B4" w:rsidRPr="003605B4" w:rsidRDefault="003605B4" w:rsidP="003605B4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605B4">
        <w:rPr>
          <w:rFonts w:asciiTheme="minorHAnsi" w:hAnsiTheme="minorHAnsi" w:cstheme="minorHAnsi"/>
          <w:sz w:val="22"/>
          <w:szCs w:val="22"/>
        </w:rPr>
        <w:t>Track key deadlines and support compliance and reporting processes across the organisation.</w:t>
      </w:r>
    </w:p>
    <w:p w14:paraId="55DB0F5A" w14:textId="77777777" w:rsidR="003605B4" w:rsidRPr="003605B4" w:rsidRDefault="003605B4" w:rsidP="003605B4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605B4">
        <w:rPr>
          <w:rFonts w:asciiTheme="minorHAnsi" w:hAnsiTheme="minorHAnsi" w:cstheme="minorHAnsi"/>
          <w:sz w:val="22"/>
          <w:szCs w:val="22"/>
        </w:rPr>
        <w:t>Assist with maintaining company records, statutory registers, and filings in accordance with regulatory guidelines.</w:t>
      </w:r>
    </w:p>
    <w:p w14:paraId="4FE8CEA1" w14:textId="77777777" w:rsidR="003605B4" w:rsidRPr="003605B4" w:rsidRDefault="003605B4" w:rsidP="003605B4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605B4">
        <w:rPr>
          <w:rFonts w:asciiTheme="minorHAnsi" w:hAnsiTheme="minorHAnsi" w:cstheme="minorHAnsi"/>
          <w:sz w:val="22"/>
          <w:szCs w:val="22"/>
        </w:rPr>
        <w:t>Support the CEO and COO in ensuring compliance with corporate governance policies, legal regulations, and statutory requirements.</w:t>
      </w:r>
    </w:p>
    <w:p w14:paraId="314BD5A6" w14:textId="77777777" w:rsidR="003605B4" w:rsidRPr="003605B4" w:rsidRDefault="003605B4" w:rsidP="003605B4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605B4">
        <w:rPr>
          <w:rFonts w:asciiTheme="minorHAnsi" w:hAnsiTheme="minorHAnsi" w:cstheme="minorHAnsi"/>
          <w:sz w:val="22"/>
          <w:szCs w:val="22"/>
        </w:rPr>
        <w:t>Assist with ad hoc initiatives and operational projects led by the CEO, COO or Senior Team.</w:t>
      </w:r>
    </w:p>
    <w:p w14:paraId="56F6BD11" w14:textId="77777777" w:rsidR="00853BA8" w:rsidRDefault="00853BA8" w:rsidP="003605B4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033D6FC1" w14:textId="77777777" w:rsidR="003605B4" w:rsidRDefault="003605B4" w:rsidP="003605B4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5E675864" w14:textId="5496015A" w:rsidR="003605B4" w:rsidRDefault="003605B4" w:rsidP="003605B4">
      <w:pPr>
        <w:widowControl w:val="0"/>
        <w:ind w:left="36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lastRenderedPageBreak/>
        <w:t>Administration and Office Support</w:t>
      </w:r>
    </w:p>
    <w:p w14:paraId="45AF4CC9" w14:textId="77777777" w:rsidR="003605B4" w:rsidRPr="00FE4FE7" w:rsidRDefault="003605B4" w:rsidP="003605B4">
      <w:pPr>
        <w:widowControl w:val="0"/>
        <w:ind w:left="360"/>
        <w:rPr>
          <w:rFonts w:ascii="Calibri" w:hAnsi="Calibri"/>
          <w:snapToGrid w:val="0"/>
          <w:sz w:val="22"/>
          <w:szCs w:val="22"/>
        </w:rPr>
      </w:pPr>
    </w:p>
    <w:p w14:paraId="1AE08EE3" w14:textId="77777777" w:rsidR="009B59D0" w:rsidRPr="009B59D0" w:rsidRDefault="009B59D0" w:rsidP="009B59D0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B59D0">
        <w:rPr>
          <w:rFonts w:asciiTheme="minorHAnsi" w:hAnsiTheme="minorHAnsi" w:cstheme="minorHAnsi"/>
          <w:sz w:val="22"/>
          <w:szCs w:val="22"/>
        </w:rPr>
        <w:t>Maintain filing systems and digital document storage with a strong emphasis on confidentiality and accuracy.</w:t>
      </w:r>
    </w:p>
    <w:p w14:paraId="33D65DC0" w14:textId="77777777" w:rsidR="009B59D0" w:rsidRPr="009B59D0" w:rsidRDefault="009B59D0" w:rsidP="009B59D0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B59D0">
        <w:rPr>
          <w:rFonts w:asciiTheme="minorHAnsi" w:hAnsiTheme="minorHAnsi" w:cstheme="minorHAnsi"/>
          <w:sz w:val="22"/>
          <w:szCs w:val="22"/>
        </w:rPr>
        <w:t>Book travel, venues and accommodation for the Executive Team and visiting guests.</w:t>
      </w:r>
    </w:p>
    <w:p w14:paraId="41D76CEF" w14:textId="77777777" w:rsidR="009B59D0" w:rsidRPr="009B59D0" w:rsidRDefault="009B59D0" w:rsidP="009B59D0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B59D0">
        <w:rPr>
          <w:rFonts w:asciiTheme="minorHAnsi" w:hAnsiTheme="minorHAnsi" w:cstheme="minorHAnsi"/>
          <w:sz w:val="22"/>
          <w:szCs w:val="22"/>
        </w:rPr>
        <w:t>Help coordinate senior team events, hospitality, and Trust-wide communications when required.</w:t>
      </w:r>
    </w:p>
    <w:p w14:paraId="007AF308" w14:textId="77777777" w:rsidR="009B59D0" w:rsidRPr="009B59D0" w:rsidRDefault="009B59D0" w:rsidP="009B59D0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B59D0">
        <w:rPr>
          <w:rFonts w:asciiTheme="minorHAnsi" w:hAnsiTheme="minorHAnsi" w:cstheme="minorHAnsi"/>
          <w:sz w:val="22"/>
          <w:szCs w:val="22"/>
        </w:rPr>
        <w:t>Assist with expense filings and reports, processing invoices, and supporting budget-related activities for the Executive Office.</w:t>
      </w:r>
    </w:p>
    <w:p w14:paraId="78545E10" w14:textId="469207C8" w:rsidR="00853BA8" w:rsidRPr="005F76EE" w:rsidRDefault="009B59D0" w:rsidP="005F76EE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B59D0">
        <w:rPr>
          <w:rFonts w:asciiTheme="minorHAnsi" w:hAnsiTheme="minorHAnsi" w:cstheme="minorHAnsi"/>
          <w:sz w:val="22"/>
          <w:szCs w:val="22"/>
        </w:rPr>
        <w:t>Manage the day-to-day running of the Executive Office, ensuring it operates smoothly and professionally.</w:t>
      </w:r>
    </w:p>
    <w:p w14:paraId="57A98891" w14:textId="77777777" w:rsidR="007E16CA" w:rsidRPr="00FE4FE7" w:rsidRDefault="007E16CA" w:rsidP="007E16CA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 xml:space="preserve">Any other duties as requested by your Line Manager </w:t>
      </w:r>
    </w:p>
    <w:p w14:paraId="1DE90D27" w14:textId="77777777" w:rsidR="007E16CA" w:rsidRPr="00FE4FE7" w:rsidRDefault="007E16CA" w:rsidP="007E16CA">
      <w:pPr>
        <w:widowControl w:val="0"/>
        <w:ind w:left="720"/>
        <w:rPr>
          <w:rFonts w:ascii="Calibri" w:hAnsi="Calibri"/>
          <w:snapToGrid w:val="0"/>
          <w:sz w:val="22"/>
          <w:szCs w:val="22"/>
        </w:rPr>
      </w:pPr>
    </w:p>
    <w:p w14:paraId="10AA48EB" w14:textId="77777777" w:rsidR="00CD6BA8" w:rsidRPr="00FE4FE7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All OTC staff are expected to:</w:t>
      </w:r>
    </w:p>
    <w:p w14:paraId="6FBC183D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Maintain excellent working relationships with other staff and volunteers.</w:t>
      </w:r>
    </w:p>
    <w:p w14:paraId="1DFAD732" w14:textId="77777777" w:rsidR="00CD6BA8" w:rsidRPr="00FE4FE7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1" w:name="_Hlk120549378"/>
      <w:r w:rsidRPr="00FE4FE7">
        <w:rPr>
          <w:rFonts w:ascii="Calibri" w:hAnsi="Calibri"/>
          <w:sz w:val="22"/>
          <w:szCs w:val="22"/>
        </w:rPr>
        <w:t>E</w:t>
      </w:r>
      <w:r w:rsidR="00CD6BA8" w:rsidRPr="00FE4FE7">
        <w:rPr>
          <w:rFonts w:ascii="Calibri" w:hAnsi="Calibri"/>
          <w:sz w:val="22"/>
          <w:szCs w:val="22"/>
        </w:rPr>
        <w:t xml:space="preserve">nsure </w:t>
      </w:r>
      <w:r w:rsidRPr="00FE4FE7">
        <w:rPr>
          <w:rFonts w:ascii="Calibri" w:hAnsi="Calibri"/>
          <w:sz w:val="22"/>
          <w:szCs w:val="22"/>
        </w:rPr>
        <w:t>the delivery of BEET to all our customers</w:t>
      </w:r>
      <w:r w:rsidR="0026361C" w:rsidRPr="00FE4FE7">
        <w:rPr>
          <w:rFonts w:ascii="Calibri" w:hAnsi="Calibri"/>
          <w:sz w:val="22"/>
          <w:szCs w:val="22"/>
        </w:rPr>
        <w:t xml:space="preserve"> and be committed to the Odyssey ethos and objectives.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CD6BA8" w:rsidRPr="00FE4FE7">
        <w:rPr>
          <w:rFonts w:ascii="Calibri" w:hAnsi="Calibri"/>
          <w:sz w:val="22"/>
          <w:szCs w:val="22"/>
        </w:rPr>
        <w:t xml:space="preserve"> </w:t>
      </w:r>
    </w:p>
    <w:p w14:paraId="3B1E5688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committed to and work in accordance with our</w:t>
      </w:r>
      <w:r w:rsidR="00233D35" w:rsidRPr="00FE4FE7">
        <w:rPr>
          <w:rFonts w:ascii="Calibri" w:hAnsi="Calibri"/>
          <w:sz w:val="22"/>
          <w:szCs w:val="22"/>
        </w:rPr>
        <w:t xml:space="preserve"> Safeguarding,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233D35" w:rsidRPr="00FE4FE7">
        <w:rPr>
          <w:rFonts w:ascii="Calibri" w:hAnsi="Calibri"/>
          <w:sz w:val="22"/>
          <w:szCs w:val="22"/>
        </w:rPr>
        <w:t>H</w:t>
      </w:r>
      <w:r w:rsidRPr="00FE4FE7">
        <w:rPr>
          <w:rFonts w:ascii="Calibri" w:hAnsi="Calibri"/>
          <w:sz w:val="22"/>
          <w:szCs w:val="22"/>
        </w:rPr>
        <w:t xml:space="preserve">ealth </w:t>
      </w:r>
      <w:r w:rsidR="00233D35" w:rsidRPr="00FE4FE7">
        <w:rPr>
          <w:rFonts w:ascii="Calibri" w:hAnsi="Calibri"/>
          <w:sz w:val="22"/>
          <w:szCs w:val="22"/>
        </w:rPr>
        <w:t>&amp; Safety</w:t>
      </w:r>
      <w:r w:rsidR="00D603BB" w:rsidRPr="00FE4FE7">
        <w:rPr>
          <w:rFonts w:ascii="Calibri" w:hAnsi="Calibri"/>
          <w:sz w:val="22"/>
          <w:szCs w:val="22"/>
        </w:rPr>
        <w:t>, Equality</w:t>
      </w:r>
      <w:r w:rsidR="00233D35" w:rsidRPr="00FE4FE7">
        <w:rPr>
          <w:rFonts w:ascii="Calibri" w:hAnsi="Calibri"/>
          <w:sz w:val="22"/>
          <w:szCs w:val="22"/>
        </w:rPr>
        <w:t xml:space="preserve"> </w:t>
      </w:r>
      <w:r w:rsidRPr="00FE4FE7">
        <w:rPr>
          <w:rFonts w:ascii="Calibri" w:hAnsi="Calibri"/>
          <w:sz w:val="22"/>
          <w:szCs w:val="22"/>
        </w:rPr>
        <w:t xml:space="preserve">and </w:t>
      </w:r>
      <w:r w:rsidR="00233D35" w:rsidRPr="00FE4FE7">
        <w:rPr>
          <w:rFonts w:ascii="Calibri" w:hAnsi="Calibri"/>
          <w:sz w:val="22"/>
          <w:szCs w:val="22"/>
        </w:rPr>
        <w:t xml:space="preserve">other </w:t>
      </w:r>
      <w:r w:rsidRPr="00FE4FE7">
        <w:rPr>
          <w:rFonts w:ascii="Calibri" w:hAnsi="Calibri"/>
          <w:sz w:val="22"/>
          <w:szCs w:val="22"/>
        </w:rPr>
        <w:t>established</w:t>
      </w:r>
      <w:r w:rsidR="00233D35" w:rsidRPr="00FE4FE7">
        <w:rPr>
          <w:rFonts w:ascii="Calibri" w:hAnsi="Calibri"/>
          <w:sz w:val="22"/>
          <w:szCs w:val="22"/>
        </w:rPr>
        <w:t xml:space="preserve"> policies and </w:t>
      </w:r>
      <w:r w:rsidRPr="00FE4FE7">
        <w:rPr>
          <w:rFonts w:ascii="Calibri" w:hAnsi="Calibri"/>
          <w:sz w:val="22"/>
          <w:szCs w:val="22"/>
        </w:rPr>
        <w:t>procedures.</w:t>
      </w:r>
    </w:p>
    <w:bookmarkEnd w:id="1"/>
    <w:p w14:paraId="15EA702F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flexible undertake such ot</w:t>
      </w:r>
      <w:r w:rsidR="004019C4" w:rsidRPr="00FE4FE7">
        <w:rPr>
          <w:rFonts w:ascii="Calibri" w:hAnsi="Calibri"/>
          <w:sz w:val="22"/>
          <w:szCs w:val="22"/>
        </w:rPr>
        <w:t>her duties that may be required</w:t>
      </w:r>
      <w:r w:rsidR="00D603BB" w:rsidRPr="00FE4FE7">
        <w:rPr>
          <w:rFonts w:ascii="Calibri" w:hAnsi="Calibri"/>
          <w:sz w:val="22"/>
          <w:szCs w:val="22"/>
        </w:rPr>
        <w:t xml:space="preserve"> including </w:t>
      </w:r>
      <w:r w:rsidR="00D603BB" w:rsidRPr="0098347B">
        <w:rPr>
          <w:rFonts w:ascii="Calibri" w:hAnsi="Calibri"/>
          <w:sz w:val="22"/>
          <w:szCs w:val="22"/>
        </w:rPr>
        <w:t>occasionally</w:t>
      </w:r>
      <w:r w:rsidR="00D603BB" w:rsidRPr="00FE4FE7">
        <w:rPr>
          <w:rFonts w:ascii="Calibri" w:hAnsi="Calibri"/>
          <w:sz w:val="22"/>
          <w:szCs w:val="22"/>
        </w:rPr>
        <w:t xml:space="preserve"> working evenings, weekends and public holidays</w:t>
      </w:r>
      <w:r w:rsidR="0026361C" w:rsidRPr="00FE4FE7">
        <w:rPr>
          <w:rFonts w:ascii="Calibri" w:hAnsi="Calibri"/>
          <w:sz w:val="22"/>
          <w:szCs w:val="22"/>
        </w:rPr>
        <w:t>, if required</w:t>
      </w:r>
      <w:r w:rsidR="004019C4" w:rsidRPr="00FE4FE7">
        <w:rPr>
          <w:rFonts w:ascii="Calibri" w:hAnsi="Calibri"/>
          <w:sz w:val="22"/>
          <w:szCs w:val="22"/>
        </w:rPr>
        <w:t>.</w:t>
      </w:r>
    </w:p>
    <w:p w14:paraId="5DDE6735" w14:textId="77777777" w:rsidR="006823C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46CC15E0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54258ABD" w14:textId="77777777" w:rsidR="00F94E1D" w:rsidRPr="00F94E1D" w:rsidRDefault="00F94E1D" w:rsidP="00F94E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4E1D">
        <w:rPr>
          <w:rFonts w:asciiTheme="minorHAnsi" w:hAnsiTheme="minorHAnsi" w:cstheme="minorHAnsi"/>
          <w:b/>
          <w:bCs/>
          <w:sz w:val="22"/>
          <w:szCs w:val="22"/>
        </w:rPr>
        <w:t>What We’re Looking For</w:t>
      </w:r>
    </w:p>
    <w:p w14:paraId="3F485BFD" w14:textId="77777777" w:rsidR="00F94E1D" w:rsidRPr="00F94E1D" w:rsidRDefault="00F94E1D" w:rsidP="00F94E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4E1D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p w14:paraId="55FDBEE4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A third level qualification in Business Administration, Management or related field.</w:t>
      </w:r>
    </w:p>
    <w:p w14:paraId="029123B3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 xml:space="preserve">Proven recent experience in a similar </w:t>
      </w:r>
      <w:r w:rsidRPr="00F94E1D">
        <w:rPr>
          <w:rFonts w:asciiTheme="minorHAnsi" w:hAnsiTheme="minorHAnsi" w:cstheme="minorHAnsi"/>
          <w:b/>
          <w:bCs/>
          <w:sz w:val="22"/>
          <w:szCs w:val="22"/>
        </w:rPr>
        <w:t>PA or Executive Assistant role</w:t>
      </w:r>
      <w:r w:rsidRPr="00F94E1D">
        <w:rPr>
          <w:rFonts w:asciiTheme="minorHAnsi" w:hAnsiTheme="minorHAnsi" w:cstheme="minorHAnsi"/>
          <w:sz w:val="22"/>
          <w:szCs w:val="22"/>
        </w:rPr>
        <w:t>, supporting C-suite executives or senior leadership for a minimum of 3 years</w:t>
      </w:r>
    </w:p>
    <w:p w14:paraId="1513289A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Excellent communication skills – both written and verbal – with a strong eye for detail.</w:t>
      </w:r>
    </w:p>
    <w:p w14:paraId="1B09539F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High levels of discretion, trustworthiness and professionalism when handling confidential matters.</w:t>
      </w:r>
    </w:p>
    <w:p w14:paraId="4FD9C3AB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Confidence in managing multiple tasks and deadlines in a fast-paced, people-focused environment.</w:t>
      </w:r>
    </w:p>
    <w:p w14:paraId="703446D8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Proficiency in Microsoft Office (especially Outlook, Word, Excel and PowerPoint).</w:t>
      </w:r>
    </w:p>
    <w:p w14:paraId="208EB080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A flexible, solution-focused mindset and the ability to remain calm under pressure.</w:t>
      </w:r>
    </w:p>
    <w:p w14:paraId="1D15E4DC" w14:textId="77777777" w:rsidR="00F94E1D" w:rsidRPr="00F94E1D" w:rsidRDefault="00F94E1D" w:rsidP="00F94E1D">
      <w:pPr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Strong interpersonal skills and the ability to build trusted relationships at all levels.</w:t>
      </w:r>
    </w:p>
    <w:p w14:paraId="6BF994E6" w14:textId="77777777" w:rsidR="00F94E1D" w:rsidRPr="00F94E1D" w:rsidRDefault="00F94E1D" w:rsidP="00F94E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4E1D">
        <w:rPr>
          <w:rFonts w:asciiTheme="minorHAnsi" w:hAnsiTheme="minorHAnsi" w:cstheme="minorHAnsi"/>
          <w:b/>
          <w:bCs/>
          <w:sz w:val="22"/>
          <w:szCs w:val="22"/>
        </w:rPr>
        <w:t>Desirable</w:t>
      </w:r>
    </w:p>
    <w:p w14:paraId="60D2389C" w14:textId="3813C84C" w:rsidR="00F94E1D" w:rsidRPr="00F94E1D" w:rsidRDefault="00F94E1D" w:rsidP="00F94E1D">
      <w:pPr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Previous experience working in the events, leisure or cultural sectors.</w:t>
      </w:r>
    </w:p>
    <w:p w14:paraId="7BD298A7" w14:textId="77777777" w:rsidR="00F94E1D" w:rsidRPr="00F94E1D" w:rsidRDefault="00F94E1D" w:rsidP="00F94E1D">
      <w:pPr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Familiarity with board governance or company secretarial processes.</w:t>
      </w:r>
    </w:p>
    <w:p w14:paraId="593732A8" w14:textId="77777777" w:rsidR="00F94E1D" w:rsidRDefault="00F94E1D" w:rsidP="00F94E1D">
      <w:pPr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94E1D">
        <w:rPr>
          <w:rFonts w:asciiTheme="minorHAnsi" w:hAnsiTheme="minorHAnsi" w:cstheme="minorHAnsi"/>
          <w:sz w:val="22"/>
          <w:szCs w:val="22"/>
        </w:rPr>
        <w:t>Experience using collaboration tools like Microsoft Teams, SharePoint or project tracking software.</w:t>
      </w:r>
    </w:p>
    <w:p w14:paraId="28A62F8C" w14:textId="4BE1EA4F" w:rsidR="00F94E1D" w:rsidRPr="00F94E1D" w:rsidRDefault="00F94E1D" w:rsidP="00F94E1D">
      <w:pPr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Knowledge of the local landscape and interest in The Odyssey Trust</w:t>
      </w:r>
      <w:r w:rsidR="00912B78">
        <w:rPr>
          <w:rFonts w:asciiTheme="minorHAnsi" w:hAnsiTheme="minorHAnsi" w:cstheme="minorHAnsi"/>
          <w:sz w:val="22"/>
          <w:szCs w:val="22"/>
        </w:rPr>
        <w:t>’s mission and work</w:t>
      </w:r>
    </w:p>
    <w:p w14:paraId="4D015B19" w14:textId="77777777" w:rsidR="005F76EE" w:rsidRPr="00F94E1D" w:rsidRDefault="005F76EE" w:rsidP="006823C7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9D2D12D" w14:textId="77777777" w:rsidR="0021722E" w:rsidRDefault="0021722E" w:rsidP="002172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722E">
        <w:rPr>
          <w:rFonts w:asciiTheme="minorHAnsi" w:hAnsiTheme="minorHAnsi" w:cstheme="minorHAnsi"/>
          <w:b/>
          <w:bCs/>
          <w:sz w:val="22"/>
          <w:szCs w:val="22"/>
        </w:rPr>
        <w:t>What We Offer</w:t>
      </w:r>
    </w:p>
    <w:p w14:paraId="67B7619E" w14:textId="77777777" w:rsidR="0021722E" w:rsidRPr="0021722E" w:rsidRDefault="0021722E" w:rsidP="002172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AF686A" w14:textId="77777777" w:rsidR="0021722E" w:rsidRPr="0021722E" w:rsidRDefault="0021722E" w:rsidP="0021722E">
      <w:pPr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At The Odyssey Trust, we believe in supporting our staff with great benefits, opportunities for growth and a positive working environment. You can expect:</w:t>
      </w:r>
    </w:p>
    <w:p w14:paraId="2F4585C6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Free car parking</w:t>
      </w:r>
    </w:p>
    <w:p w14:paraId="1929B98D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Subsidised W5 Café and staff discount in W5 shop</w:t>
      </w:r>
    </w:p>
    <w:p w14:paraId="70C007AC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Complimentary tickets to Belfast Giants games</w:t>
      </w:r>
    </w:p>
    <w:p w14:paraId="11F34D32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Family and friends’ access to W5</w:t>
      </w:r>
    </w:p>
    <w:p w14:paraId="3DE52672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31 days annual leave, rising to 34 days with service</w:t>
      </w:r>
    </w:p>
    <w:p w14:paraId="1B00AE7F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Company-sponsored social events</w:t>
      </w:r>
    </w:p>
    <w:p w14:paraId="0432F1C4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Contributory pension scheme</w:t>
      </w:r>
    </w:p>
    <w:p w14:paraId="3171A573" w14:textId="77777777" w:rsidR="0021722E" w:rsidRP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Life assurance and paid sickness benefit</w:t>
      </w:r>
    </w:p>
    <w:p w14:paraId="6FE4FDEC" w14:textId="77777777" w:rsidR="0021722E" w:rsidRDefault="0021722E" w:rsidP="0021722E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722E">
        <w:rPr>
          <w:rFonts w:asciiTheme="minorHAnsi" w:hAnsiTheme="minorHAnsi" w:cstheme="minorHAnsi"/>
          <w:sz w:val="22"/>
          <w:szCs w:val="22"/>
        </w:rPr>
        <w:t>Comprehensive health cash plan</w:t>
      </w:r>
    </w:p>
    <w:p w14:paraId="78A3C423" w14:textId="0BC97B38" w:rsidR="007E3766" w:rsidRPr="007E3766" w:rsidRDefault="007E3766" w:rsidP="007E3766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E3766">
        <w:rPr>
          <w:rFonts w:asciiTheme="minorHAnsi" w:hAnsiTheme="minorHAnsi" w:cstheme="minorHAnsi"/>
          <w:sz w:val="22"/>
          <w:szCs w:val="22"/>
        </w:rPr>
        <w:t>Access to salary sacrifice schemes including pension, holiday</w:t>
      </w:r>
      <w:r w:rsidR="0098347B">
        <w:rPr>
          <w:rFonts w:asciiTheme="minorHAnsi" w:hAnsiTheme="minorHAnsi" w:cstheme="minorHAnsi"/>
          <w:sz w:val="22"/>
          <w:szCs w:val="22"/>
        </w:rPr>
        <w:t xml:space="preserve">s </w:t>
      </w:r>
      <w:r w:rsidRPr="007E3766">
        <w:rPr>
          <w:rFonts w:asciiTheme="minorHAnsi" w:hAnsiTheme="minorHAnsi" w:cstheme="minorHAnsi"/>
          <w:sz w:val="22"/>
          <w:szCs w:val="22"/>
        </w:rPr>
        <w:t>and cycle to work</w:t>
      </w:r>
    </w:p>
    <w:p w14:paraId="3DA863DB" w14:textId="77777777" w:rsidR="007E3766" w:rsidRPr="000A39C8" w:rsidRDefault="007E3766" w:rsidP="007E3766">
      <w:pPr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7E3766">
        <w:rPr>
          <w:rFonts w:asciiTheme="minorHAnsi" w:hAnsiTheme="minorHAnsi" w:cstheme="minorHAnsi"/>
          <w:sz w:val="22"/>
          <w:szCs w:val="22"/>
        </w:rPr>
        <w:t>Training and professional development opportunities</w:t>
      </w:r>
    </w:p>
    <w:p w14:paraId="4F153FFE" w14:textId="77777777" w:rsidR="0042259C" w:rsidRPr="0042259C" w:rsidRDefault="0042259C" w:rsidP="004225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259C">
        <w:rPr>
          <w:rFonts w:asciiTheme="minorHAnsi" w:hAnsiTheme="minorHAnsi" w:cstheme="minorHAnsi"/>
          <w:b/>
          <w:bCs/>
          <w:sz w:val="22"/>
          <w:szCs w:val="22"/>
        </w:rPr>
        <w:t>How to Apply</w:t>
      </w:r>
    </w:p>
    <w:p w14:paraId="2ABE1485" w14:textId="77777777" w:rsidR="0042259C" w:rsidRDefault="0042259C" w:rsidP="0042259C">
      <w:pPr>
        <w:rPr>
          <w:rFonts w:asciiTheme="minorHAnsi" w:hAnsiTheme="minorHAnsi" w:cstheme="minorHAnsi"/>
          <w:sz w:val="22"/>
          <w:szCs w:val="22"/>
        </w:rPr>
      </w:pPr>
    </w:p>
    <w:p w14:paraId="7D44C072" w14:textId="51983A3C" w:rsidR="0042259C" w:rsidRDefault="0042259C" w:rsidP="0042259C">
      <w:pPr>
        <w:rPr>
          <w:rFonts w:asciiTheme="minorHAnsi" w:hAnsiTheme="minorHAnsi" w:cstheme="minorHAnsi"/>
          <w:sz w:val="22"/>
          <w:szCs w:val="22"/>
        </w:rPr>
      </w:pPr>
      <w:r w:rsidRPr="0042259C">
        <w:rPr>
          <w:rFonts w:asciiTheme="minorHAnsi" w:hAnsiTheme="minorHAnsi" w:cstheme="minorHAnsi"/>
          <w:sz w:val="22"/>
          <w:szCs w:val="22"/>
        </w:rPr>
        <w:t xml:space="preserve">To apply, please </w:t>
      </w:r>
      <w:r w:rsidR="00BC25E1">
        <w:rPr>
          <w:rFonts w:asciiTheme="minorHAnsi" w:hAnsiTheme="minorHAnsi" w:cstheme="minorHAnsi"/>
          <w:sz w:val="22"/>
          <w:szCs w:val="22"/>
        </w:rPr>
        <w:t>attach your</w:t>
      </w:r>
      <w:r w:rsidRPr="0042259C">
        <w:rPr>
          <w:rFonts w:asciiTheme="minorHAnsi" w:hAnsiTheme="minorHAnsi" w:cstheme="minorHAnsi"/>
          <w:sz w:val="22"/>
          <w:szCs w:val="22"/>
        </w:rPr>
        <w:t xml:space="preserve"> </w:t>
      </w:r>
      <w:r w:rsidRPr="0042259C">
        <w:rPr>
          <w:rFonts w:asciiTheme="minorHAnsi" w:hAnsiTheme="minorHAnsi" w:cstheme="minorHAnsi"/>
          <w:b/>
          <w:bCs/>
          <w:sz w:val="22"/>
          <w:szCs w:val="22"/>
        </w:rPr>
        <w:t>CV</w:t>
      </w:r>
      <w:r w:rsidRPr="0042259C">
        <w:rPr>
          <w:rFonts w:asciiTheme="minorHAnsi" w:hAnsiTheme="minorHAnsi" w:cstheme="minorHAnsi"/>
          <w:sz w:val="22"/>
          <w:szCs w:val="22"/>
        </w:rPr>
        <w:t xml:space="preserve"> explaining why you’re a great fit for this role</w:t>
      </w:r>
      <w:r w:rsidR="006A680A">
        <w:rPr>
          <w:rFonts w:asciiTheme="minorHAnsi" w:hAnsiTheme="minorHAnsi" w:cstheme="minorHAnsi"/>
          <w:sz w:val="22"/>
          <w:szCs w:val="22"/>
        </w:rPr>
        <w:t>.</w:t>
      </w:r>
    </w:p>
    <w:p w14:paraId="10D27C14" w14:textId="77777777" w:rsidR="004039EF" w:rsidRPr="0042259C" w:rsidRDefault="004039EF" w:rsidP="0042259C">
      <w:pPr>
        <w:rPr>
          <w:rFonts w:asciiTheme="minorHAnsi" w:hAnsiTheme="minorHAnsi" w:cstheme="minorHAnsi"/>
          <w:sz w:val="22"/>
          <w:szCs w:val="22"/>
        </w:rPr>
      </w:pPr>
    </w:p>
    <w:p w14:paraId="5197D910" w14:textId="043529EB" w:rsidR="0042259C" w:rsidRDefault="0042259C" w:rsidP="0042259C">
      <w:pPr>
        <w:rPr>
          <w:rFonts w:asciiTheme="minorHAnsi" w:hAnsiTheme="minorHAnsi" w:cstheme="minorHAnsi"/>
          <w:sz w:val="22"/>
          <w:szCs w:val="22"/>
        </w:rPr>
      </w:pPr>
      <w:r w:rsidRPr="0042259C">
        <w:rPr>
          <w:rFonts w:asciiTheme="minorHAnsi" w:hAnsiTheme="minorHAnsi" w:cstheme="minorHAnsi"/>
          <w:sz w:val="22"/>
          <w:szCs w:val="22"/>
        </w:rPr>
        <w:t>For an informal chat about the role, please contact [</w:t>
      </w:r>
      <w:r w:rsidR="005E2681">
        <w:rPr>
          <w:rFonts w:asciiTheme="minorHAnsi" w:hAnsiTheme="minorHAnsi" w:cstheme="minorHAnsi"/>
          <w:sz w:val="22"/>
          <w:szCs w:val="22"/>
        </w:rPr>
        <w:t>roisinmurray@theodyssey.co.uk</w:t>
      </w:r>
      <w:r w:rsidRPr="0042259C">
        <w:rPr>
          <w:rFonts w:asciiTheme="minorHAnsi" w:hAnsiTheme="minorHAnsi" w:cstheme="minorHAnsi"/>
          <w:sz w:val="22"/>
          <w:szCs w:val="22"/>
        </w:rPr>
        <w:t>].</w:t>
      </w:r>
    </w:p>
    <w:p w14:paraId="4BCB3059" w14:textId="77777777" w:rsidR="0042259C" w:rsidRPr="0042259C" w:rsidRDefault="0042259C" w:rsidP="0042259C">
      <w:pPr>
        <w:rPr>
          <w:rFonts w:asciiTheme="minorHAnsi" w:hAnsiTheme="minorHAnsi" w:cstheme="minorHAnsi"/>
          <w:sz w:val="22"/>
          <w:szCs w:val="22"/>
        </w:rPr>
      </w:pPr>
    </w:p>
    <w:p w14:paraId="464CD2C5" w14:textId="77777777" w:rsidR="0042259C" w:rsidRPr="0042259C" w:rsidRDefault="0042259C" w:rsidP="004225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259C">
        <w:rPr>
          <w:rFonts w:asciiTheme="minorHAnsi" w:hAnsiTheme="minorHAnsi" w:cstheme="minorHAnsi"/>
          <w:b/>
          <w:bCs/>
          <w:sz w:val="22"/>
          <w:szCs w:val="22"/>
        </w:rPr>
        <w:t>The Odyssey Trust is an Equal Opportunities Employer</w:t>
      </w:r>
    </w:p>
    <w:p w14:paraId="0C3EAAE8" w14:textId="77777777" w:rsidR="0042259C" w:rsidRPr="0042259C" w:rsidRDefault="0042259C" w:rsidP="0042259C">
      <w:pPr>
        <w:rPr>
          <w:rFonts w:asciiTheme="minorHAnsi" w:hAnsiTheme="minorHAnsi" w:cstheme="minorHAnsi"/>
          <w:sz w:val="22"/>
          <w:szCs w:val="22"/>
        </w:rPr>
      </w:pPr>
      <w:r w:rsidRPr="0042259C">
        <w:rPr>
          <w:rFonts w:asciiTheme="minorHAnsi" w:hAnsiTheme="minorHAnsi" w:cstheme="minorHAnsi"/>
          <w:sz w:val="22"/>
          <w:szCs w:val="22"/>
        </w:rPr>
        <w:t>We are committed to building a diverse and inclusive team that reflects the communities we serve. We welcome applications from candidates of all backgrounds, identities, and experiences.</w:t>
      </w:r>
    </w:p>
    <w:p w14:paraId="6C4120CD" w14:textId="77777777" w:rsidR="000A39C8" w:rsidRPr="007E3766" w:rsidRDefault="000A39C8" w:rsidP="000A39C8">
      <w:pPr>
        <w:spacing w:after="160" w:line="259" w:lineRule="auto"/>
        <w:rPr>
          <w:rFonts w:asciiTheme="minorHAnsi" w:hAnsiTheme="minorHAnsi" w:cstheme="minorHAnsi"/>
        </w:rPr>
      </w:pPr>
    </w:p>
    <w:p w14:paraId="1B4D1ED0" w14:textId="77777777" w:rsidR="007E3766" w:rsidRPr="0021722E" w:rsidRDefault="007E3766" w:rsidP="007E3766">
      <w:pPr>
        <w:spacing w:after="160" w:line="259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3658AA1" w14:textId="77777777" w:rsidR="005F76EE" w:rsidRPr="0021722E" w:rsidRDefault="005F76EE" w:rsidP="006823C7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B931BF2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5F3C9D13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6E983062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0CD7E4FD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15D0870F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7902AFD2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235FF2C8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7B528E6A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753BC27C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0BBF1400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09636620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6285684D" w14:textId="77777777" w:rsidR="005F76EE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62A5BBA8" w14:textId="77777777" w:rsidR="005F76EE" w:rsidRPr="00FE4FE7" w:rsidRDefault="005F76EE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sectPr w:rsidR="005F76EE" w:rsidRPr="00FE4FE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F121" w14:textId="77777777" w:rsidR="00365C3A" w:rsidRDefault="00365C3A" w:rsidP="00750566">
      <w:r>
        <w:separator/>
      </w:r>
    </w:p>
  </w:endnote>
  <w:endnote w:type="continuationSeparator" w:id="0">
    <w:p w14:paraId="73F7ACBF" w14:textId="77777777" w:rsidR="00365C3A" w:rsidRDefault="00365C3A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0FE2" w14:textId="77777777" w:rsidR="00365C3A" w:rsidRDefault="00365C3A" w:rsidP="00750566">
      <w:r>
        <w:separator/>
      </w:r>
    </w:p>
  </w:footnote>
  <w:footnote w:type="continuationSeparator" w:id="0">
    <w:p w14:paraId="6BC04E4D" w14:textId="77777777" w:rsidR="00365C3A" w:rsidRDefault="00365C3A" w:rsidP="007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032"/>
    <w:multiLevelType w:val="multilevel"/>
    <w:tmpl w:val="F9E4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23A06"/>
    <w:multiLevelType w:val="multilevel"/>
    <w:tmpl w:val="91B2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192D"/>
    <w:multiLevelType w:val="multilevel"/>
    <w:tmpl w:val="FB7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91EDF"/>
    <w:multiLevelType w:val="multilevel"/>
    <w:tmpl w:val="131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86D7C"/>
    <w:multiLevelType w:val="multilevel"/>
    <w:tmpl w:val="D64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D4367"/>
    <w:multiLevelType w:val="multilevel"/>
    <w:tmpl w:val="003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55B19"/>
    <w:multiLevelType w:val="multilevel"/>
    <w:tmpl w:val="522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31"/>
  </w:num>
  <w:num w:numId="2" w16cid:durableId="936908823">
    <w:abstractNumId w:val="7"/>
  </w:num>
  <w:num w:numId="3" w16cid:durableId="1429809115">
    <w:abstractNumId w:val="19"/>
  </w:num>
  <w:num w:numId="4" w16cid:durableId="762070460">
    <w:abstractNumId w:val="12"/>
  </w:num>
  <w:num w:numId="5" w16cid:durableId="2032484428">
    <w:abstractNumId w:val="21"/>
  </w:num>
  <w:num w:numId="6" w16cid:durableId="16949214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7"/>
  </w:num>
  <w:num w:numId="8" w16cid:durableId="1924680544">
    <w:abstractNumId w:val="8"/>
  </w:num>
  <w:num w:numId="9" w16cid:durableId="1617329567">
    <w:abstractNumId w:val="25"/>
  </w:num>
  <w:num w:numId="10" w16cid:durableId="459425148">
    <w:abstractNumId w:val="14"/>
  </w:num>
  <w:num w:numId="11" w16cid:durableId="1493789580">
    <w:abstractNumId w:val="5"/>
  </w:num>
  <w:num w:numId="12" w16cid:durableId="810488433">
    <w:abstractNumId w:val="30"/>
  </w:num>
  <w:num w:numId="13" w16cid:durableId="1021247972">
    <w:abstractNumId w:val="15"/>
  </w:num>
  <w:num w:numId="14" w16cid:durableId="1146893824">
    <w:abstractNumId w:val="23"/>
  </w:num>
  <w:num w:numId="15" w16cid:durableId="1699430276">
    <w:abstractNumId w:val="4"/>
  </w:num>
  <w:num w:numId="16" w16cid:durableId="2011332129">
    <w:abstractNumId w:val="22"/>
  </w:num>
  <w:num w:numId="17" w16cid:durableId="243413645">
    <w:abstractNumId w:val="28"/>
  </w:num>
  <w:num w:numId="18" w16cid:durableId="69161938">
    <w:abstractNumId w:val="18"/>
  </w:num>
  <w:num w:numId="19" w16cid:durableId="1615866128">
    <w:abstractNumId w:val="2"/>
  </w:num>
  <w:num w:numId="20" w16cid:durableId="131099158">
    <w:abstractNumId w:val="29"/>
  </w:num>
  <w:num w:numId="21" w16cid:durableId="587538680">
    <w:abstractNumId w:val="24"/>
  </w:num>
  <w:num w:numId="22" w16cid:durableId="248272872">
    <w:abstractNumId w:val="1"/>
  </w:num>
  <w:num w:numId="23" w16cid:durableId="880744905">
    <w:abstractNumId w:val="20"/>
  </w:num>
  <w:num w:numId="24" w16cid:durableId="1700351583">
    <w:abstractNumId w:val="12"/>
  </w:num>
  <w:num w:numId="25" w16cid:durableId="2128085542">
    <w:abstractNumId w:val="3"/>
  </w:num>
  <w:num w:numId="26" w16cid:durableId="885988084">
    <w:abstractNumId w:val="17"/>
  </w:num>
  <w:num w:numId="27" w16cid:durableId="1847134667">
    <w:abstractNumId w:val="6"/>
  </w:num>
  <w:num w:numId="28" w16cid:durableId="1423913223">
    <w:abstractNumId w:val="26"/>
  </w:num>
  <w:num w:numId="29" w16cid:durableId="1317030381">
    <w:abstractNumId w:val="10"/>
  </w:num>
  <w:num w:numId="30" w16cid:durableId="1603489611">
    <w:abstractNumId w:val="0"/>
  </w:num>
  <w:num w:numId="31" w16cid:durableId="552272660">
    <w:abstractNumId w:val="9"/>
  </w:num>
  <w:num w:numId="32" w16cid:durableId="1743789271">
    <w:abstractNumId w:val="16"/>
  </w:num>
  <w:num w:numId="33" w16cid:durableId="1560096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27018"/>
    <w:rsid w:val="00032835"/>
    <w:rsid w:val="00033772"/>
    <w:rsid w:val="00037FEC"/>
    <w:rsid w:val="00045367"/>
    <w:rsid w:val="00054E5F"/>
    <w:rsid w:val="00096118"/>
    <w:rsid w:val="000A39C8"/>
    <w:rsid w:val="000B3A83"/>
    <w:rsid w:val="000B3D4F"/>
    <w:rsid w:val="000C39AA"/>
    <w:rsid w:val="000D0C50"/>
    <w:rsid w:val="000F27F0"/>
    <w:rsid w:val="000F3F26"/>
    <w:rsid w:val="00101FE7"/>
    <w:rsid w:val="001100BE"/>
    <w:rsid w:val="00122A10"/>
    <w:rsid w:val="001306A9"/>
    <w:rsid w:val="00133A6B"/>
    <w:rsid w:val="00145642"/>
    <w:rsid w:val="00151A15"/>
    <w:rsid w:val="0016216A"/>
    <w:rsid w:val="001E6D7D"/>
    <w:rsid w:val="0021722E"/>
    <w:rsid w:val="00233D35"/>
    <w:rsid w:val="00245716"/>
    <w:rsid w:val="002510BB"/>
    <w:rsid w:val="0026361C"/>
    <w:rsid w:val="00272C8C"/>
    <w:rsid w:val="0027447E"/>
    <w:rsid w:val="00275854"/>
    <w:rsid w:val="002836B3"/>
    <w:rsid w:val="00286B6C"/>
    <w:rsid w:val="002876E6"/>
    <w:rsid w:val="00294D5D"/>
    <w:rsid w:val="002A6211"/>
    <w:rsid w:val="00300614"/>
    <w:rsid w:val="00300F45"/>
    <w:rsid w:val="003156FC"/>
    <w:rsid w:val="00342FEA"/>
    <w:rsid w:val="003467EC"/>
    <w:rsid w:val="00353F39"/>
    <w:rsid w:val="003605B4"/>
    <w:rsid w:val="00365C3A"/>
    <w:rsid w:val="0036636A"/>
    <w:rsid w:val="003772CC"/>
    <w:rsid w:val="003A124E"/>
    <w:rsid w:val="003A2B36"/>
    <w:rsid w:val="003A6E30"/>
    <w:rsid w:val="003B0F45"/>
    <w:rsid w:val="003B205E"/>
    <w:rsid w:val="003D00ED"/>
    <w:rsid w:val="003D2894"/>
    <w:rsid w:val="003D50F8"/>
    <w:rsid w:val="004019C4"/>
    <w:rsid w:val="004039EF"/>
    <w:rsid w:val="0042259C"/>
    <w:rsid w:val="00460B55"/>
    <w:rsid w:val="00496137"/>
    <w:rsid w:val="00496588"/>
    <w:rsid w:val="004B01B8"/>
    <w:rsid w:val="004B0C45"/>
    <w:rsid w:val="004B287A"/>
    <w:rsid w:val="004D57F0"/>
    <w:rsid w:val="004E297B"/>
    <w:rsid w:val="004E3E6F"/>
    <w:rsid w:val="004F3EF7"/>
    <w:rsid w:val="00522595"/>
    <w:rsid w:val="0053369D"/>
    <w:rsid w:val="00554EDE"/>
    <w:rsid w:val="005831FC"/>
    <w:rsid w:val="005A5F45"/>
    <w:rsid w:val="005B01B5"/>
    <w:rsid w:val="005B4B0D"/>
    <w:rsid w:val="005D05F1"/>
    <w:rsid w:val="005E2681"/>
    <w:rsid w:val="005E467C"/>
    <w:rsid w:val="005E50EC"/>
    <w:rsid w:val="005E56FE"/>
    <w:rsid w:val="005E7581"/>
    <w:rsid w:val="005F3E77"/>
    <w:rsid w:val="005F5BF1"/>
    <w:rsid w:val="005F76EE"/>
    <w:rsid w:val="00605348"/>
    <w:rsid w:val="00606CF3"/>
    <w:rsid w:val="00613010"/>
    <w:rsid w:val="00624DD2"/>
    <w:rsid w:val="00627EC0"/>
    <w:rsid w:val="00661F7D"/>
    <w:rsid w:val="006823C7"/>
    <w:rsid w:val="00692FF1"/>
    <w:rsid w:val="006A680A"/>
    <w:rsid w:val="006D2391"/>
    <w:rsid w:val="006D5245"/>
    <w:rsid w:val="006E01EB"/>
    <w:rsid w:val="006F6EB6"/>
    <w:rsid w:val="006F7024"/>
    <w:rsid w:val="007103FE"/>
    <w:rsid w:val="0072545F"/>
    <w:rsid w:val="00736134"/>
    <w:rsid w:val="0074115C"/>
    <w:rsid w:val="00750566"/>
    <w:rsid w:val="00774604"/>
    <w:rsid w:val="007827A5"/>
    <w:rsid w:val="00786251"/>
    <w:rsid w:val="007B4F45"/>
    <w:rsid w:val="007C2FA2"/>
    <w:rsid w:val="007C55A6"/>
    <w:rsid w:val="007D0359"/>
    <w:rsid w:val="007E16CA"/>
    <w:rsid w:val="007E3629"/>
    <w:rsid w:val="007E3766"/>
    <w:rsid w:val="007E7C39"/>
    <w:rsid w:val="007F17BA"/>
    <w:rsid w:val="00802DAF"/>
    <w:rsid w:val="008341AA"/>
    <w:rsid w:val="008347FC"/>
    <w:rsid w:val="00841640"/>
    <w:rsid w:val="00853BA8"/>
    <w:rsid w:val="00867281"/>
    <w:rsid w:val="00885252"/>
    <w:rsid w:val="00885E21"/>
    <w:rsid w:val="008953FD"/>
    <w:rsid w:val="00897DBE"/>
    <w:rsid w:val="008C426E"/>
    <w:rsid w:val="008E13D4"/>
    <w:rsid w:val="008E3669"/>
    <w:rsid w:val="008E5201"/>
    <w:rsid w:val="008E6EE2"/>
    <w:rsid w:val="00912B78"/>
    <w:rsid w:val="00916F0E"/>
    <w:rsid w:val="009302E5"/>
    <w:rsid w:val="00930FDA"/>
    <w:rsid w:val="009435F4"/>
    <w:rsid w:val="00955D92"/>
    <w:rsid w:val="009649CD"/>
    <w:rsid w:val="0098347B"/>
    <w:rsid w:val="00987F74"/>
    <w:rsid w:val="009A43C5"/>
    <w:rsid w:val="009B59D0"/>
    <w:rsid w:val="009E7C7C"/>
    <w:rsid w:val="00A042B0"/>
    <w:rsid w:val="00A2275B"/>
    <w:rsid w:val="00A66715"/>
    <w:rsid w:val="00A721A5"/>
    <w:rsid w:val="00A74693"/>
    <w:rsid w:val="00A91CD7"/>
    <w:rsid w:val="00AC1C8C"/>
    <w:rsid w:val="00AD0D94"/>
    <w:rsid w:val="00AE2A45"/>
    <w:rsid w:val="00AF1E11"/>
    <w:rsid w:val="00AF6508"/>
    <w:rsid w:val="00B15C81"/>
    <w:rsid w:val="00B213C4"/>
    <w:rsid w:val="00B45408"/>
    <w:rsid w:val="00B54A66"/>
    <w:rsid w:val="00B55C50"/>
    <w:rsid w:val="00B57045"/>
    <w:rsid w:val="00B63B0F"/>
    <w:rsid w:val="00B70805"/>
    <w:rsid w:val="00B7462C"/>
    <w:rsid w:val="00BA064D"/>
    <w:rsid w:val="00BA6B55"/>
    <w:rsid w:val="00BB0EBE"/>
    <w:rsid w:val="00BB1FE5"/>
    <w:rsid w:val="00BB43BD"/>
    <w:rsid w:val="00BC25E1"/>
    <w:rsid w:val="00BC5C46"/>
    <w:rsid w:val="00BE3E24"/>
    <w:rsid w:val="00BE40DC"/>
    <w:rsid w:val="00BF3D89"/>
    <w:rsid w:val="00BF68BF"/>
    <w:rsid w:val="00C032E8"/>
    <w:rsid w:val="00C1500F"/>
    <w:rsid w:val="00C15DBC"/>
    <w:rsid w:val="00C21D77"/>
    <w:rsid w:val="00C238AE"/>
    <w:rsid w:val="00C24611"/>
    <w:rsid w:val="00C25223"/>
    <w:rsid w:val="00C57423"/>
    <w:rsid w:val="00C61035"/>
    <w:rsid w:val="00CD5FA7"/>
    <w:rsid w:val="00CD62ED"/>
    <w:rsid w:val="00CD6BA8"/>
    <w:rsid w:val="00CE5364"/>
    <w:rsid w:val="00CF76BA"/>
    <w:rsid w:val="00D25B0B"/>
    <w:rsid w:val="00D31673"/>
    <w:rsid w:val="00D41AE4"/>
    <w:rsid w:val="00D46FCD"/>
    <w:rsid w:val="00D47776"/>
    <w:rsid w:val="00D53F68"/>
    <w:rsid w:val="00D603BB"/>
    <w:rsid w:val="00D66797"/>
    <w:rsid w:val="00D71264"/>
    <w:rsid w:val="00D75541"/>
    <w:rsid w:val="00DC5652"/>
    <w:rsid w:val="00DE4980"/>
    <w:rsid w:val="00DF14CA"/>
    <w:rsid w:val="00E12268"/>
    <w:rsid w:val="00E1261B"/>
    <w:rsid w:val="00E129E2"/>
    <w:rsid w:val="00E140AB"/>
    <w:rsid w:val="00E40EED"/>
    <w:rsid w:val="00E462B2"/>
    <w:rsid w:val="00E52F07"/>
    <w:rsid w:val="00E53F3E"/>
    <w:rsid w:val="00E5450D"/>
    <w:rsid w:val="00E64647"/>
    <w:rsid w:val="00E757B7"/>
    <w:rsid w:val="00E826BC"/>
    <w:rsid w:val="00E9501E"/>
    <w:rsid w:val="00EA0627"/>
    <w:rsid w:val="00EA72F4"/>
    <w:rsid w:val="00EF18C5"/>
    <w:rsid w:val="00F11C63"/>
    <w:rsid w:val="00F150FE"/>
    <w:rsid w:val="00F15667"/>
    <w:rsid w:val="00F43A40"/>
    <w:rsid w:val="00F47EEE"/>
    <w:rsid w:val="00F63A62"/>
    <w:rsid w:val="00F80FAE"/>
    <w:rsid w:val="00F94E1D"/>
    <w:rsid w:val="00F97900"/>
    <w:rsid w:val="00FE4FE7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7348C-5E43-4ABF-BC1B-C213A83E6CAF}">
  <ds:schemaRefs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e96736b-fc29-4335-be1a-49136fb1a249"/>
    <ds:schemaRef ds:uri="672b42cc-0654-4ea4-bbf8-761c8f6854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7673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</cp:revision>
  <cp:lastPrinted>2023-03-01T16:07:00Z</cp:lastPrinted>
  <dcterms:created xsi:type="dcterms:W3CDTF">2025-04-11T15:28:00Z</dcterms:created>
  <dcterms:modified xsi:type="dcterms:W3CDTF">2025-04-11T15:28:00Z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