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8D0A9C" w:rsidRDefault="006823C7" w:rsidP="003D2894">
      <w:pPr>
        <w:pStyle w:val="Heading8"/>
        <w:spacing w:before="0" w:after="0"/>
        <w:rPr>
          <w:rFonts w:asciiTheme="minorHAnsi" w:hAnsiTheme="minorHAnsi" w:cstheme="minorHAnsi"/>
          <w:bCs/>
          <w:i w:val="0"/>
        </w:rPr>
      </w:pPr>
      <w:r w:rsidRPr="008D0A9C">
        <w:rPr>
          <w:rFonts w:asciiTheme="minorHAnsi" w:hAnsiTheme="minorHAnsi" w:cstheme="minorHAnsi"/>
          <w:bCs/>
          <w:i w:val="0"/>
        </w:rPr>
        <w:t>JOB DESCRIPTION</w:t>
      </w:r>
    </w:p>
    <w:p w14:paraId="10525996" w14:textId="03B1F178" w:rsidR="00FF5E96" w:rsidRDefault="00FF5E96" w:rsidP="00FF5E96">
      <w:pPr>
        <w:rPr>
          <w:rFonts w:asciiTheme="minorHAnsi" w:hAnsiTheme="minorHAnsi" w:cstheme="minorHAnsi"/>
        </w:rPr>
      </w:pPr>
    </w:p>
    <w:p w14:paraId="78630348" w14:textId="75D03480" w:rsidR="007802FF" w:rsidRPr="008D0A9C" w:rsidRDefault="006E182B" w:rsidP="00FF5E96">
      <w:pPr>
        <w:rPr>
          <w:rFonts w:asciiTheme="minorHAnsi" w:hAnsiTheme="minorHAnsi" w:cstheme="minorHAnsi"/>
        </w:rPr>
      </w:pPr>
      <w:r>
        <w:rPr>
          <w:rFonts w:asciiTheme="minorHAnsi" w:hAnsiTheme="minorHAnsi" w:cstheme="minorHAnsi"/>
        </w:rPr>
        <w:t>A</w:t>
      </w:r>
      <w:r w:rsidR="00F75239">
        <w:rPr>
          <w:rFonts w:asciiTheme="minorHAnsi" w:hAnsiTheme="minorHAnsi" w:cstheme="minorHAnsi"/>
        </w:rPr>
        <w:t>ccounts &amp; Administrative Officer</w:t>
      </w:r>
    </w:p>
    <w:p w14:paraId="6841D26F" w14:textId="77777777" w:rsidR="004E3E6F" w:rsidRPr="008D0A9C" w:rsidRDefault="004E3E6F" w:rsidP="0053369D">
      <w:pPr>
        <w:widowControl w:val="0"/>
        <w:rPr>
          <w:rFonts w:asciiTheme="minorHAnsi" w:hAnsiTheme="minorHAnsi" w:cstheme="minorHAnsi"/>
          <w:b/>
          <w:snapToGrid w:val="0"/>
        </w:rPr>
      </w:pPr>
    </w:p>
    <w:p w14:paraId="4032E9D4" w14:textId="0DA6DE65" w:rsidR="0053369D" w:rsidRPr="008D0A9C" w:rsidRDefault="0053369D" w:rsidP="0053369D">
      <w:pPr>
        <w:widowControl w:val="0"/>
        <w:rPr>
          <w:rFonts w:asciiTheme="minorHAnsi" w:hAnsiTheme="minorHAnsi" w:cstheme="minorHAnsi"/>
          <w:b/>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F75239">
        <w:rPr>
          <w:rFonts w:asciiTheme="minorHAnsi" w:hAnsiTheme="minorHAnsi" w:cstheme="minorHAnsi"/>
          <w:b/>
          <w:snapToGrid w:val="0"/>
        </w:rPr>
        <w:t>OTC</w:t>
      </w:r>
      <w:r w:rsidR="006E7178">
        <w:rPr>
          <w:rFonts w:asciiTheme="minorHAnsi" w:hAnsiTheme="minorHAnsi" w:cstheme="minorHAnsi"/>
          <w:b/>
          <w:snapToGrid w:val="0"/>
        </w:rPr>
        <w:t xml:space="preserve"> </w:t>
      </w:r>
      <w:r w:rsidR="005772AF" w:rsidRPr="008D0A9C">
        <w:rPr>
          <w:rFonts w:asciiTheme="minorHAnsi" w:hAnsiTheme="minorHAnsi" w:cstheme="minorHAnsi"/>
          <w:b/>
          <w:snapToGrid w:val="0"/>
        </w:rPr>
        <w:t xml:space="preserve">part of the </w:t>
      </w:r>
      <w:r w:rsidR="00F67510" w:rsidRPr="008D0A9C">
        <w:rPr>
          <w:rFonts w:asciiTheme="minorHAnsi" w:hAnsiTheme="minorHAnsi" w:cstheme="minorHAnsi"/>
          <w:b/>
          <w:snapToGrid w:val="0"/>
        </w:rPr>
        <w:t xml:space="preserve">Odyssey </w:t>
      </w:r>
      <w:r w:rsidR="005772AF" w:rsidRPr="008D0A9C">
        <w:rPr>
          <w:rFonts w:asciiTheme="minorHAnsi" w:hAnsiTheme="minorHAnsi" w:cstheme="minorHAnsi"/>
          <w:b/>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8D0A9C">
        <w:rPr>
          <w:rFonts w:asciiTheme="minorHAnsi" w:hAnsiTheme="minorHAnsi" w:cstheme="minorHAnsi"/>
          <w:b/>
          <w:snapToGrid w:val="0"/>
        </w:rPr>
        <w:t>Queen’s Quay, Belfast, BT3 9QQ</w:t>
      </w:r>
    </w:p>
    <w:p w14:paraId="704209CE" w14:textId="4E35C7AF"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AC5C26" w:rsidRPr="008D0A9C">
        <w:rPr>
          <w:rFonts w:asciiTheme="minorHAnsi" w:hAnsiTheme="minorHAnsi" w:cstheme="minorHAnsi"/>
          <w:b/>
          <w:snapToGrid w:val="0"/>
        </w:rPr>
        <w:tab/>
      </w:r>
      <w:r w:rsidR="00F75239">
        <w:rPr>
          <w:rFonts w:asciiTheme="minorHAnsi" w:hAnsiTheme="minorHAnsi" w:cstheme="minorHAnsi"/>
          <w:b/>
          <w:snapToGrid w:val="0"/>
        </w:rPr>
        <w:t>Finance Manager</w:t>
      </w:r>
    </w:p>
    <w:p w14:paraId="6DD17DAA" w14:textId="2209D4DB" w:rsidR="00E61073" w:rsidRPr="008D0A9C" w:rsidRDefault="00955D92" w:rsidP="0004445B">
      <w:pPr>
        <w:widowControl w:val="0"/>
        <w:ind w:left="3600" w:hanging="3600"/>
        <w:rPr>
          <w:rFonts w:asciiTheme="minorHAnsi" w:hAnsiTheme="minorHAnsi" w:cstheme="minorHAnsi"/>
          <w:b/>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F75239">
        <w:rPr>
          <w:rFonts w:asciiTheme="minorHAnsi" w:hAnsiTheme="minorHAnsi" w:cstheme="minorHAnsi"/>
          <w:b/>
          <w:snapToGrid w:val="0"/>
        </w:rPr>
        <w:t>37.5 hours pe</w:t>
      </w:r>
      <w:r w:rsidR="0004445B" w:rsidRPr="008D0A9C">
        <w:rPr>
          <w:rFonts w:asciiTheme="minorHAnsi" w:hAnsiTheme="minorHAnsi" w:cstheme="minorHAnsi"/>
          <w:b/>
          <w:snapToGrid w:val="0"/>
        </w:rPr>
        <w:t xml:space="preserve">r week, flexibility is required due to the nature of the role. </w:t>
      </w:r>
    </w:p>
    <w:p w14:paraId="366C6F00" w14:textId="16B5E1E4" w:rsidR="00E32AAC" w:rsidRPr="008D0A9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1F5C99">
        <w:rPr>
          <w:rFonts w:asciiTheme="minorHAnsi" w:hAnsiTheme="minorHAnsi" w:cstheme="minorHAnsi"/>
          <w:b/>
          <w:snapToGrid w:val="0"/>
        </w:rPr>
        <w:t>December 2025</w:t>
      </w:r>
    </w:p>
    <w:p w14:paraId="703E101F" w14:textId="77777777" w:rsidR="00E32AAC" w:rsidRPr="008D0A9C" w:rsidRDefault="00E32AAC" w:rsidP="00E32AAC">
      <w:pPr>
        <w:widowControl w:val="0"/>
        <w:rPr>
          <w:rFonts w:asciiTheme="minorHAnsi" w:hAnsiTheme="minorHAnsi" w:cstheme="minorHAnsi"/>
          <w:lang w:eastAsia="en-GB"/>
        </w:rPr>
      </w:pPr>
    </w:p>
    <w:p w14:paraId="6E030E37" w14:textId="77777777" w:rsidR="001F5C99"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p>
    <w:p w14:paraId="2D427AD2" w14:textId="77777777" w:rsidR="001F5C99" w:rsidRDefault="001F5C99" w:rsidP="00F97900">
      <w:pPr>
        <w:widowControl w:val="0"/>
        <w:tabs>
          <w:tab w:val="left" w:pos="8910"/>
        </w:tabs>
        <w:rPr>
          <w:rFonts w:asciiTheme="minorHAnsi" w:hAnsiTheme="minorHAnsi" w:cstheme="minorHAnsi"/>
          <w:b/>
          <w:snapToGrid w:val="0"/>
        </w:rPr>
      </w:pPr>
    </w:p>
    <w:p w14:paraId="0D4B1AEB" w14:textId="77777777" w:rsidR="0036253B" w:rsidRDefault="0036253B" w:rsidP="0036253B">
      <w:pPr>
        <w:contextualSpacing/>
        <w:jc w:val="both"/>
        <w:rPr>
          <w:rFonts w:ascii="Calibri" w:hAnsi="Calibri"/>
        </w:rPr>
      </w:pPr>
      <w:r w:rsidRPr="004E46E2">
        <w:rPr>
          <w:rFonts w:ascii="Calibri" w:hAnsi="Calibri"/>
        </w:rPr>
        <w:t xml:space="preserve">Working for the </w:t>
      </w:r>
      <w:r>
        <w:rPr>
          <w:rFonts w:ascii="Calibri" w:hAnsi="Calibri"/>
        </w:rPr>
        <w:t>Finance Manger</w:t>
      </w:r>
      <w:r w:rsidRPr="004E46E2">
        <w:rPr>
          <w:rFonts w:ascii="Calibri" w:hAnsi="Calibri"/>
        </w:rPr>
        <w:t xml:space="preserve"> within a team setting, the post holder will assist with the maintenance of financial records, the production of financial information</w:t>
      </w:r>
      <w:r>
        <w:rPr>
          <w:rFonts w:ascii="Calibri" w:hAnsi="Calibri"/>
        </w:rPr>
        <w:t xml:space="preserve"> and </w:t>
      </w:r>
      <w:r w:rsidRPr="004E46E2">
        <w:rPr>
          <w:rFonts w:ascii="Calibri" w:hAnsi="Calibri"/>
        </w:rPr>
        <w:t xml:space="preserve">general administration duties.  This post is based within the Trust’s </w:t>
      </w:r>
      <w:r>
        <w:rPr>
          <w:rFonts w:ascii="Calibri" w:hAnsi="Calibri"/>
        </w:rPr>
        <w:t>finance t</w:t>
      </w:r>
      <w:r w:rsidRPr="004E46E2">
        <w:rPr>
          <w:rFonts w:ascii="Calibri" w:hAnsi="Calibri"/>
        </w:rPr>
        <w:t xml:space="preserve">eam and includes undertaking work across a range of business units; </w:t>
      </w:r>
      <w:r>
        <w:rPr>
          <w:rFonts w:ascii="Calibri" w:hAnsi="Calibri"/>
        </w:rPr>
        <w:t xml:space="preserve">Arena, </w:t>
      </w:r>
      <w:r w:rsidRPr="004E46E2">
        <w:rPr>
          <w:rFonts w:ascii="Calibri" w:hAnsi="Calibri"/>
        </w:rPr>
        <w:t>W5, Belfast Giants and Car parks</w:t>
      </w:r>
      <w:r>
        <w:rPr>
          <w:rFonts w:ascii="Calibri" w:hAnsi="Calibri"/>
        </w:rPr>
        <w:t>.</w:t>
      </w:r>
    </w:p>
    <w:p w14:paraId="335413E5" w14:textId="3ED70A22" w:rsidR="009435F4" w:rsidRPr="0036253B" w:rsidRDefault="00F97900" w:rsidP="0036253B">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ab/>
      </w:r>
    </w:p>
    <w:p w14:paraId="0851A66F" w14:textId="033F064C" w:rsidR="008E3669" w:rsidRPr="008D0A9C" w:rsidRDefault="008E3669" w:rsidP="008E3669">
      <w:pPr>
        <w:contextualSpacing/>
        <w:jc w:val="both"/>
        <w:rPr>
          <w:rFonts w:asciiTheme="minorHAnsi" w:hAnsiTheme="minorHAnsi" w:cstheme="minorHAnsi"/>
          <w:b/>
        </w:rPr>
      </w:pPr>
      <w:bookmarkStart w:id="0" w:name="_Hlk29904888"/>
      <w:r w:rsidRPr="008D0A9C">
        <w:rPr>
          <w:rFonts w:asciiTheme="minorHAnsi" w:hAnsiTheme="minorHAnsi" w:cstheme="minorHAnsi"/>
        </w:rPr>
        <w:t xml:space="preserve">The Odyssey Trust group of companies is committed to the core ideology of BEET, Best Experience Every Time for </w:t>
      </w:r>
      <w:r w:rsidR="00E5450D" w:rsidRPr="008D0A9C">
        <w:rPr>
          <w:rFonts w:asciiTheme="minorHAnsi" w:hAnsiTheme="minorHAnsi" w:cstheme="minorHAnsi"/>
        </w:rPr>
        <w:t>c</w:t>
      </w:r>
      <w:r w:rsidRPr="008D0A9C">
        <w:rPr>
          <w:rFonts w:asciiTheme="minorHAnsi" w:hAnsiTheme="minorHAnsi" w:cstheme="minorHAnsi"/>
        </w:rPr>
        <w:t>ustomers</w:t>
      </w:r>
      <w:r w:rsidR="00E5450D" w:rsidRPr="008D0A9C">
        <w:rPr>
          <w:rFonts w:asciiTheme="minorHAnsi" w:hAnsiTheme="minorHAnsi" w:cstheme="minorHAnsi"/>
        </w:rPr>
        <w:t>, c</w:t>
      </w:r>
      <w:r w:rsidRPr="008D0A9C">
        <w:rPr>
          <w:rFonts w:asciiTheme="minorHAnsi" w:hAnsiTheme="minorHAnsi" w:cstheme="minorHAnsi"/>
        </w:rPr>
        <w:t>olleagues</w:t>
      </w:r>
      <w:r w:rsidR="00E5450D" w:rsidRPr="008D0A9C">
        <w:rPr>
          <w:rFonts w:asciiTheme="minorHAnsi" w:hAnsiTheme="minorHAnsi" w:cstheme="minorHAnsi"/>
        </w:rPr>
        <w:t xml:space="preserve"> and stakeholder</w:t>
      </w:r>
      <w:r w:rsidR="00E9501E" w:rsidRPr="008D0A9C">
        <w:rPr>
          <w:rFonts w:asciiTheme="minorHAnsi" w:hAnsiTheme="minorHAnsi" w:cstheme="minorHAnsi"/>
        </w:rPr>
        <w:t>s</w:t>
      </w:r>
      <w:r w:rsidR="004B01B8" w:rsidRPr="008D0A9C">
        <w:rPr>
          <w:rFonts w:asciiTheme="minorHAnsi" w:hAnsiTheme="minorHAnsi" w:cstheme="minorHAnsi"/>
        </w:rPr>
        <w:t>.  T</w:t>
      </w:r>
      <w:r w:rsidRPr="008D0A9C">
        <w:rPr>
          <w:rFonts w:asciiTheme="minorHAnsi" w:hAnsiTheme="minorHAnsi" w:cstheme="minorHAnsi"/>
        </w:rPr>
        <w:t xml:space="preserve">hese principles will be developed with all </w:t>
      </w:r>
      <w:r w:rsidR="00E5450D" w:rsidRPr="008D0A9C">
        <w:rPr>
          <w:rFonts w:asciiTheme="minorHAnsi" w:hAnsiTheme="minorHAnsi" w:cstheme="minorHAnsi"/>
        </w:rPr>
        <w:t>t</w:t>
      </w:r>
      <w:r w:rsidRPr="008D0A9C">
        <w:rPr>
          <w:rFonts w:asciiTheme="minorHAnsi" w:hAnsiTheme="minorHAnsi" w:cstheme="minorHAnsi"/>
        </w:rPr>
        <w:t>o support outstanding customer</w:t>
      </w:r>
      <w:r w:rsidR="00C238AE" w:rsidRPr="008D0A9C">
        <w:rPr>
          <w:rFonts w:asciiTheme="minorHAnsi" w:hAnsiTheme="minorHAnsi" w:cstheme="minorHAnsi"/>
        </w:rPr>
        <w:t xml:space="preserve"> service</w:t>
      </w:r>
      <w:r w:rsidRPr="008D0A9C">
        <w:rPr>
          <w:rFonts w:asciiTheme="minorHAnsi" w:hAnsiTheme="minorHAnsi" w:cstheme="minorHAnsi"/>
        </w:rPr>
        <w:t xml:space="preserve">.  All </w:t>
      </w:r>
      <w:r w:rsidR="009435F4" w:rsidRPr="008D0A9C">
        <w:rPr>
          <w:rFonts w:asciiTheme="minorHAnsi" w:hAnsiTheme="minorHAnsi" w:cstheme="minorHAnsi"/>
        </w:rPr>
        <w:t xml:space="preserve">colleagues </w:t>
      </w:r>
      <w:r w:rsidRPr="008D0A9C">
        <w:rPr>
          <w:rFonts w:asciiTheme="minorHAnsi" w:hAnsiTheme="minorHAnsi" w:cstheme="minorHAnsi"/>
        </w:rPr>
        <w:t>are expected to commit to the core values shown below</w:t>
      </w:r>
      <w:r w:rsidR="00C238AE" w:rsidRPr="008D0A9C">
        <w:rPr>
          <w:rFonts w:asciiTheme="minorHAnsi" w:hAnsiTheme="minorHAnsi" w:cstheme="minorHAnsi"/>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8D0A9C" w14:paraId="75E0FDAA" w14:textId="77777777" w:rsidTr="005D05F1">
        <w:tc>
          <w:tcPr>
            <w:tcW w:w="1763" w:type="dxa"/>
          </w:tcPr>
          <w:bookmarkEnd w:id="0"/>
          <w:p w14:paraId="3F6AAC44"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Core Value</w:t>
            </w:r>
          </w:p>
        </w:tc>
        <w:tc>
          <w:tcPr>
            <w:tcW w:w="3041" w:type="dxa"/>
          </w:tcPr>
          <w:p w14:paraId="7A5F9287"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Our </w:t>
            </w:r>
            <w:r w:rsidR="008E3669" w:rsidRPr="008D0A9C">
              <w:rPr>
                <w:rFonts w:asciiTheme="minorHAnsi" w:eastAsia="Calibri" w:hAnsiTheme="minorHAnsi" w:cstheme="minorHAnsi"/>
                <w:b/>
              </w:rPr>
              <w:t>Behaviour</w:t>
            </w:r>
          </w:p>
        </w:tc>
        <w:tc>
          <w:tcPr>
            <w:tcW w:w="5544" w:type="dxa"/>
          </w:tcPr>
          <w:p w14:paraId="3F853F7A"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What it means for our </w:t>
            </w:r>
            <w:r w:rsidR="008E3669" w:rsidRPr="008D0A9C">
              <w:rPr>
                <w:rFonts w:asciiTheme="minorHAnsi" w:eastAsia="Calibri" w:hAnsiTheme="minorHAnsi" w:cstheme="minorHAnsi"/>
                <w:b/>
              </w:rPr>
              <w:t>Customer</w:t>
            </w:r>
            <w:r w:rsidRPr="008D0A9C">
              <w:rPr>
                <w:rFonts w:asciiTheme="minorHAnsi" w:eastAsia="Calibri" w:hAnsiTheme="minorHAnsi" w:cstheme="minorHAnsi"/>
                <w:b/>
              </w:rPr>
              <w:t>s</w:t>
            </w:r>
          </w:p>
        </w:tc>
      </w:tr>
      <w:tr w:rsidR="008E3669" w:rsidRPr="008D0A9C" w14:paraId="3D75B70D" w14:textId="77777777" w:rsidTr="005D05F1">
        <w:tc>
          <w:tcPr>
            <w:tcW w:w="1763" w:type="dxa"/>
          </w:tcPr>
          <w:p w14:paraId="53705480"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Positivity</w:t>
            </w:r>
          </w:p>
        </w:tc>
        <w:tc>
          <w:tcPr>
            <w:tcW w:w="3041" w:type="dxa"/>
          </w:tcPr>
          <w:p w14:paraId="1766822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Smile, can do</w:t>
            </w:r>
            <w:r w:rsidR="00EA72F4" w:rsidRPr="008D0A9C">
              <w:rPr>
                <w:rFonts w:asciiTheme="minorHAnsi" w:eastAsia="Calibri" w:hAnsiTheme="minorHAnsi" w:cstheme="minorHAnsi"/>
              </w:rPr>
              <w:t>, have fun</w:t>
            </w:r>
          </w:p>
        </w:tc>
        <w:tc>
          <w:tcPr>
            <w:tcW w:w="5544" w:type="dxa"/>
          </w:tcPr>
          <w:p w14:paraId="529BC8DD"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be helpful, welcoming &amp; enthusiastic</w:t>
            </w:r>
          </w:p>
        </w:tc>
      </w:tr>
      <w:tr w:rsidR="008E3669" w:rsidRPr="008D0A9C" w14:paraId="210A57BD" w14:textId="77777777" w:rsidTr="005D05F1">
        <w:tc>
          <w:tcPr>
            <w:tcW w:w="1763" w:type="dxa"/>
          </w:tcPr>
          <w:p w14:paraId="67FC55B9"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Integrity</w:t>
            </w:r>
          </w:p>
        </w:tc>
        <w:tc>
          <w:tcPr>
            <w:tcW w:w="3041" w:type="dxa"/>
          </w:tcPr>
          <w:p w14:paraId="5671788A"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Deliver on our promises</w:t>
            </w:r>
          </w:p>
        </w:tc>
        <w:tc>
          <w:tcPr>
            <w:tcW w:w="5544" w:type="dxa"/>
          </w:tcPr>
          <w:p w14:paraId="5A2A3A45"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be trustworthy &amp; respectful</w:t>
            </w:r>
          </w:p>
        </w:tc>
      </w:tr>
      <w:tr w:rsidR="008E3669" w:rsidRPr="008D0A9C" w14:paraId="7E4A26AE" w14:textId="77777777" w:rsidTr="005D05F1">
        <w:tc>
          <w:tcPr>
            <w:tcW w:w="1763" w:type="dxa"/>
          </w:tcPr>
          <w:p w14:paraId="24D4AC01"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Commitment</w:t>
            </w:r>
          </w:p>
        </w:tc>
        <w:tc>
          <w:tcPr>
            <w:tcW w:w="3041" w:type="dxa"/>
          </w:tcPr>
          <w:p w14:paraId="0DD75AA3"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 xml:space="preserve">Go above &amp; beyond </w:t>
            </w:r>
          </w:p>
        </w:tc>
        <w:tc>
          <w:tcPr>
            <w:tcW w:w="5544" w:type="dxa"/>
          </w:tcPr>
          <w:p w14:paraId="19BCE281"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go the extra mile</w:t>
            </w:r>
          </w:p>
        </w:tc>
      </w:tr>
      <w:tr w:rsidR="008E3669" w:rsidRPr="008D0A9C" w14:paraId="2D7F0400" w14:textId="77777777" w:rsidTr="005D05F1">
        <w:tc>
          <w:tcPr>
            <w:tcW w:w="1763" w:type="dxa"/>
          </w:tcPr>
          <w:p w14:paraId="7DBAEDC6"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Innovation</w:t>
            </w:r>
          </w:p>
        </w:tc>
        <w:tc>
          <w:tcPr>
            <w:tcW w:w="3041" w:type="dxa"/>
          </w:tcPr>
          <w:p w14:paraId="0740BBD8"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Find new ways to be better</w:t>
            </w:r>
          </w:p>
        </w:tc>
        <w:tc>
          <w:tcPr>
            <w:tcW w:w="5544" w:type="dxa"/>
          </w:tcPr>
          <w:p w14:paraId="59730B22"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learn &amp; improve</w:t>
            </w:r>
          </w:p>
        </w:tc>
      </w:tr>
      <w:tr w:rsidR="008E3669" w:rsidRPr="008D0A9C" w14:paraId="2E551852" w14:textId="77777777" w:rsidTr="005D05F1">
        <w:tc>
          <w:tcPr>
            <w:tcW w:w="1763" w:type="dxa"/>
          </w:tcPr>
          <w:p w14:paraId="7CC93602"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Teamwork</w:t>
            </w:r>
          </w:p>
        </w:tc>
        <w:tc>
          <w:tcPr>
            <w:tcW w:w="3041" w:type="dxa"/>
          </w:tcPr>
          <w:p w14:paraId="4E29EBE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Together we achieve more</w:t>
            </w:r>
          </w:p>
        </w:tc>
        <w:tc>
          <w:tcPr>
            <w:tcW w:w="5544" w:type="dxa"/>
          </w:tcPr>
          <w:p w14:paraId="394BDC74"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work together to put you first</w:t>
            </w:r>
          </w:p>
        </w:tc>
      </w:tr>
    </w:tbl>
    <w:p w14:paraId="48FDCCCD" w14:textId="77777777" w:rsidR="008E3669" w:rsidRPr="008D0A9C" w:rsidRDefault="008E3669" w:rsidP="007E16CA">
      <w:pPr>
        <w:rPr>
          <w:rFonts w:asciiTheme="minorHAnsi" w:hAnsiTheme="minorHAnsi" w:cstheme="minorHAnsi"/>
        </w:rPr>
      </w:pPr>
    </w:p>
    <w:p w14:paraId="1F3C24C3" w14:textId="057D6B48" w:rsidR="00E32AAC" w:rsidRDefault="006823C7" w:rsidP="00E32AAC">
      <w:pPr>
        <w:rPr>
          <w:rFonts w:asciiTheme="minorHAnsi" w:hAnsiTheme="minorHAnsi" w:cstheme="minorHAnsi"/>
          <w:b/>
        </w:rPr>
      </w:pPr>
      <w:r w:rsidRPr="008D0A9C">
        <w:rPr>
          <w:rFonts w:asciiTheme="minorHAnsi" w:hAnsiTheme="minorHAnsi" w:cstheme="minorHAnsi"/>
          <w:b/>
        </w:rPr>
        <w:t>MA</w:t>
      </w:r>
      <w:r w:rsidR="0053369D" w:rsidRPr="008D0A9C">
        <w:rPr>
          <w:rFonts w:asciiTheme="minorHAnsi" w:hAnsiTheme="minorHAnsi" w:cstheme="minorHAnsi"/>
          <w:b/>
        </w:rPr>
        <w:t>IN DUTIES</w:t>
      </w:r>
    </w:p>
    <w:p w14:paraId="2867DCDD" w14:textId="77777777" w:rsidR="0036253B" w:rsidRDefault="0036253B" w:rsidP="00E32AAC">
      <w:pPr>
        <w:rPr>
          <w:rFonts w:asciiTheme="minorHAnsi" w:hAnsiTheme="minorHAnsi" w:cstheme="minorHAnsi"/>
          <w:b/>
        </w:rPr>
      </w:pPr>
    </w:p>
    <w:p w14:paraId="7E4E148F"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Ensure all purchase invoices are processed through the Trust’s automated purchase to pay system. Using the automated purchase to pay system to verify invoices received electronically to the Trust’s supplier inbox and to match with a relevant purchase order.</w:t>
      </w:r>
    </w:p>
    <w:p w14:paraId="1477BCCB"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Ensure matched invoices are transferred to the Business Central accounting system under the correct G/L code.</w:t>
      </w:r>
    </w:p>
    <w:p w14:paraId="5092818D"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Liaising with other departments, suppliers and customers.</w:t>
      </w:r>
    </w:p>
    <w:p w14:paraId="1F80D4D8"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Reconciling invoices to supplier statements.</w:t>
      </w:r>
    </w:p>
    <w:p w14:paraId="2C72150C"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Running month end procedures to include the supplier payment run.</w:t>
      </w:r>
    </w:p>
    <w:p w14:paraId="2F9E3824"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 xml:space="preserve">Raising of sales invoices, issuing to customers and credit control. </w:t>
      </w:r>
    </w:p>
    <w:p w14:paraId="63DC7B31"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Posting bank and cash allocations.</w:t>
      </w:r>
    </w:p>
    <w:p w14:paraId="1C6EF6E5" w14:textId="77777777" w:rsidR="00E65ED6" w:rsidRDefault="00E65ED6" w:rsidP="00E65ED6">
      <w:pPr>
        <w:widowControl w:val="0"/>
        <w:numPr>
          <w:ilvl w:val="0"/>
          <w:numId w:val="17"/>
        </w:numPr>
        <w:ind w:left="426"/>
        <w:rPr>
          <w:rFonts w:ascii="Calibri" w:hAnsi="Calibri"/>
          <w:snapToGrid w:val="0"/>
        </w:rPr>
      </w:pPr>
      <w:r>
        <w:rPr>
          <w:rFonts w:ascii="Calibri" w:hAnsi="Calibri"/>
          <w:snapToGrid w:val="0"/>
        </w:rPr>
        <w:t xml:space="preserve">Maintaining supplier and customer records. </w:t>
      </w:r>
    </w:p>
    <w:p w14:paraId="68027ED7" w14:textId="77777777" w:rsidR="00E65ED6" w:rsidRPr="004E46E2" w:rsidRDefault="00E65ED6" w:rsidP="00E65ED6">
      <w:pPr>
        <w:widowControl w:val="0"/>
        <w:numPr>
          <w:ilvl w:val="0"/>
          <w:numId w:val="17"/>
        </w:numPr>
        <w:ind w:left="426"/>
        <w:rPr>
          <w:rFonts w:ascii="Calibri" w:hAnsi="Calibri"/>
          <w:snapToGrid w:val="0"/>
        </w:rPr>
      </w:pPr>
      <w:r w:rsidRPr="004E46E2">
        <w:rPr>
          <w:rFonts w:ascii="Calibri" w:hAnsi="Calibri"/>
          <w:snapToGrid w:val="0"/>
        </w:rPr>
        <w:t xml:space="preserve">Assist with the update and maintenance of the Trust’s </w:t>
      </w:r>
      <w:r w:rsidRPr="002A4FA5">
        <w:rPr>
          <w:rFonts w:ascii="Calibri" w:hAnsi="Calibri"/>
          <w:snapToGrid w:val="0"/>
        </w:rPr>
        <w:t>computerised financial records.</w:t>
      </w:r>
      <w:r w:rsidRPr="004E46E2">
        <w:rPr>
          <w:rFonts w:ascii="Calibri" w:hAnsi="Calibri"/>
          <w:snapToGrid w:val="0"/>
        </w:rPr>
        <w:t xml:space="preserve"> </w:t>
      </w:r>
    </w:p>
    <w:p w14:paraId="42C8DB2B" w14:textId="77777777" w:rsidR="00E65ED6" w:rsidRPr="004E46E2" w:rsidRDefault="00E65ED6" w:rsidP="00E65ED6">
      <w:pPr>
        <w:widowControl w:val="0"/>
        <w:numPr>
          <w:ilvl w:val="0"/>
          <w:numId w:val="17"/>
        </w:numPr>
        <w:ind w:left="426"/>
        <w:rPr>
          <w:rFonts w:ascii="Calibri" w:hAnsi="Calibri"/>
          <w:snapToGrid w:val="0"/>
        </w:rPr>
      </w:pPr>
      <w:r w:rsidRPr="004E46E2">
        <w:rPr>
          <w:rFonts w:ascii="Calibri" w:hAnsi="Calibri"/>
          <w:snapToGrid w:val="0"/>
        </w:rPr>
        <w:t>Assist with income reconciliation and control checks including cash and credit card transactions.</w:t>
      </w:r>
    </w:p>
    <w:p w14:paraId="2E8CCB07" w14:textId="77777777" w:rsidR="00E65ED6" w:rsidRPr="00E72386" w:rsidRDefault="00E65ED6" w:rsidP="00E65ED6">
      <w:pPr>
        <w:widowControl w:val="0"/>
        <w:numPr>
          <w:ilvl w:val="0"/>
          <w:numId w:val="17"/>
        </w:numPr>
        <w:ind w:left="426"/>
        <w:rPr>
          <w:rFonts w:ascii="Calibri" w:hAnsi="Calibri"/>
          <w:snapToGrid w:val="0"/>
        </w:rPr>
      </w:pPr>
      <w:r w:rsidRPr="00E72386">
        <w:rPr>
          <w:rFonts w:ascii="Calibri" w:hAnsi="Calibri"/>
          <w:snapToGrid w:val="0"/>
        </w:rPr>
        <w:lastRenderedPageBreak/>
        <w:t>Analyse information to assist with month end procedures.</w:t>
      </w:r>
    </w:p>
    <w:p w14:paraId="6A558D2E" w14:textId="77777777" w:rsidR="00E65ED6" w:rsidRPr="004E46E2" w:rsidRDefault="00E65ED6" w:rsidP="00E65ED6">
      <w:pPr>
        <w:widowControl w:val="0"/>
        <w:numPr>
          <w:ilvl w:val="0"/>
          <w:numId w:val="17"/>
        </w:numPr>
        <w:ind w:left="426"/>
        <w:rPr>
          <w:rFonts w:ascii="Calibri" w:hAnsi="Calibri"/>
          <w:snapToGrid w:val="0"/>
        </w:rPr>
      </w:pPr>
      <w:r w:rsidRPr="004E46E2">
        <w:rPr>
          <w:rFonts w:ascii="Calibri" w:hAnsi="Calibri"/>
          <w:snapToGrid w:val="0"/>
        </w:rPr>
        <w:t>Assist with Banking/Cash procedures including maintenance of cash books, bank reconciliation and petty cash records.</w:t>
      </w:r>
    </w:p>
    <w:p w14:paraId="5A6CB327" w14:textId="77777777" w:rsidR="0076382A" w:rsidRPr="004E46E2" w:rsidRDefault="0076382A" w:rsidP="0076382A">
      <w:pPr>
        <w:widowControl w:val="0"/>
        <w:numPr>
          <w:ilvl w:val="0"/>
          <w:numId w:val="17"/>
        </w:numPr>
        <w:ind w:left="426"/>
        <w:rPr>
          <w:rFonts w:ascii="Calibri" w:hAnsi="Calibri"/>
          <w:snapToGrid w:val="0"/>
        </w:rPr>
      </w:pPr>
      <w:r w:rsidRPr="004E46E2">
        <w:rPr>
          <w:rFonts w:ascii="Calibri" w:hAnsi="Calibri"/>
          <w:snapToGrid w:val="0"/>
        </w:rPr>
        <w:t>Provide administrative support to include file management of both physical and computerized filing systems; photocopying, scanning and shredding documentation; production and maintenance of excel spreadsheets, word processing and power point presentations.</w:t>
      </w:r>
    </w:p>
    <w:p w14:paraId="1721CAB1" w14:textId="77777777" w:rsidR="0076382A" w:rsidRPr="004E46E2" w:rsidRDefault="0076382A" w:rsidP="0076382A">
      <w:pPr>
        <w:widowControl w:val="0"/>
        <w:numPr>
          <w:ilvl w:val="0"/>
          <w:numId w:val="17"/>
        </w:numPr>
        <w:ind w:left="426"/>
        <w:rPr>
          <w:rFonts w:ascii="Calibri" w:hAnsi="Calibri"/>
          <w:snapToGrid w:val="0"/>
        </w:rPr>
      </w:pPr>
      <w:r w:rsidRPr="004E46E2">
        <w:rPr>
          <w:rFonts w:ascii="Calibri" w:hAnsi="Calibri"/>
          <w:snapToGrid w:val="0"/>
        </w:rPr>
        <w:t>As part of the Finance team ensure good housekeeping standards, safety and security standards.</w:t>
      </w:r>
    </w:p>
    <w:p w14:paraId="198AA70A" w14:textId="77777777" w:rsidR="006F7781" w:rsidRDefault="0076382A" w:rsidP="006F7781">
      <w:pPr>
        <w:widowControl w:val="0"/>
        <w:numPr>
          <w:ilvl w:val="0"/>
          <w:numId w:val="17"/>
        </w:numPr>
        <w:ind w:left="426"/>
        <w:rPr>
          <w:rFonts w:ascii="Calibri" w:hAnsi="Calibri"/>
          <w:snapToGrid w:val="0"/>
        </w:rPr>
      </w:pPr>
      <w:r w:rsidRPr="00E44AA1">
        <w:rPr>
          <w:rFonts w:ascii="Calibri" w:hAnsi="Calibri"/>
          <w:snapToGrid w:val="0"/>
        </w:rPr>
        <w:t xml:space="preserve">As part of the finance team support the smooth running of the office in answering phones, greeting visitors </w:t>
      </w:r>
      <w:r>
        <w:rPr>
          <w:rFonts w:ascii="Calibri" w:hAnsi="Calibri"/>
          <w:snapToGrid w:val="0"/>
        </w:rPr>
        <w:t>and</w:t>
      </w:r>
      <w:r w:rsidRPr="00E44AA1">
        <w:rPr>
          <w:rFonts w:ascii="Calibri" w:hAnsi="Calibri"/>
          <w:snapToGrid w:val="0"/>
        </w:rPr>
        <w:t xml:space="preserve"> coordinating hospitality. </w:t>
      </w:r>
    </w:p>
    <w:p w14:paraId="51DCD455" w14:textId="1C6E6CC7" w:rsidR="00EA4AB8" w:rsidRPr="006F7781" w:rsidRDefault="006F7781" w:rsidP="006F7781">
      <w:pPr>
        <w:widowControl w:val="0"/>
        <w:numPr>
          <w:ilvl w:val="0"/>
          <w:numId w:val="17"/>
        </w:numPr>
        <w:ind w:left="426"/>
        <w:rPr>
          <w:rFonts w:ascii="Calibri" w:hAnsi="Calibri"/>
          <w:snapToGrid w:val="0"/>
        </w:rPr>
      </w:pPr>
      <w:r w:rsidRPr="006F7781">
        <w:rPr>
          <w:rFonts w:ascii="Calibri" w:hAnsi="Calibri"/>
        </w:rPr>
        <w:t>Any other duties as requested by your Line Manager</w:t>
      </w:r>
      <w:r>
        <w:rPr>
          <w:rFonts w:ascii="Calibri" w:hAnsi="Calibri"/>
        </w:rPr>
        <w:t>.</w:t>
      </w: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1"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1"/>
    <w:p w14:paraId="15EA702F"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occasionally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7CE044F1" w14:textId="77777777" w:rsidR="0067335F" w:rsidRPr="008D0A9C" w:rsidRDefault="0067335F" w:rsidP="006823C7">
      <w:pPr>
        <w:widowControl w:val="0"/>
        <w:rPr>
          <w:rFonts w:asciiTheme="minorHAnsi" w:hAnsiTheme="minorHAnsi" w:cstheme="minorHAnsi"/>
          <w:b/>
          <w:snapToGrid w:val="0"/>
          <w:highlight w:val="yellow"/>
        </w:rPr>
      </w:pPr>
    </w:p>
    <w:p w14:paraId="382A3592" w14:textId="08A78851"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2ADAAE94" w14:textId="3E0FBE97" w:rsidR="00B0104E" w:rsidRPr="00126B34" w:rsidRDefault="00B0104E" w:rsidP="00B0104E">
      <w:pPr>
        <w:widowControl w:val="0"/>
        <w:numPr>
          <w:ilvl w:val="0"/>
          <w:numId w:val="20"/>
        </w:numPr>
        <w:contextualSpacing/>
        <w:rPr>
          <w:rFonts w:ascii="Calibri" w:hAnsi="Calibri"/>
          <w:snapToGrid w:val="0"/>
        </w:rPr>
      </w:pPr>
      <w:r>
        <w:rPr>
          <w:rFonts w:ascii="Calibri" w:hAnsi="Calibri"/>
          <w:snapToGrid w:val="0"/>
        </w:rPr>
        <w:t xml:space="preserve">1 </w:t>
      </w:r>
      <w:r w:rsidR="00B307F5">
        <w:rPr>
          <w:rFonts w:ascii="Calibri" w:hAnsi="Calibri"/>
          <w:snapToGrid w:val="0"/>
        </w:rPr>
        <w:t>years’</w:t>
      </w:r>
      <w:r w:rsidR="00B307F5" w:rsidRPr="00E44AA1">
        <w:rPr>
          <w:rFonts w:ascii="Calibri" w:hAnsi="Calibri"/>
          <w:snapToGrid w:val="0"/>
        </w:rPr>
        <w:t xml:space="preserve"> experience</w:t>
      </w:r>
      <w:r w:rsidRPr="00E44AA1">
        <w:rPr>
          <w:rFonts w:ascii="Calibri" w:hAnsi="Calibri"/>
          <w:snapToGrid w:val="0"/>
        </w:rPr>
        <w:t xml:space="preserve"> within the last three years in an administrative role in a financial environment, including </w:t>
      </w:r>
      <w:r w:rsidRPr="00126B34">
        <w:rPr>
          <w:rFonts w:ascii="Calibri" w:hAnsi="Calibri"/>
          <w:snapToGrid w:val="0"/>
        </w:rPr>
        <w:t xml:space="preserve">use of </w:t>
      </w:r>
      <w:r>
        <w:rPr>
          <w:rFonts w:ascii="Calibri" w:hAnsi="Calibri"/>
          <w:snapToGrid w:val="0"/>
        </w:rPr>
        <w:t xml:space="preserve">an </w:t>
      </w:r>
      <w:r w:rsidRPr="00126B34">
        <w:rPr>
          <w:rFonts w:ascii="Calibri" w:hAnsi="Calibri"/>
          <w:snapToGrid w:val="0"/>
        </w:rPr>
        <w:t>accounting software</w:t>
      </w:r>
      <w:r>
        <w:rPr>
          <w:rFonts w:ascii="Calibri" w:hAnsi="Calibri"/>
          <w:snapToGrid w:val="0"/>
        </w:rPr>
        <w:t xml:space="preserve"> package.</w:t>
      </w:r>
      <w:r w:rsidRPr="00126B34">
        <w:rPr>
          <w:rFonts w:ascii="Calibri" w:hAnsi="Calibri"/>
          <w:snapToGrid w:val="0"/>
        </w:rPr>
        <w:t xml:space="preserve"> </w:t>
      </w:r>
    </w:p>
    <w:p w14:paraId="22683870" w14:textId="77777777" w:rsidR="00B0104E" w:rsidRPr="00E44AA1" w:rsidRDefault="00B0104E" w:rsidP="00B0104E">
      <w:pPr>
        <w:widowControl w:val="0"/>
        <w:numPr>
          <w:ilvl w:val="0"/>
          <w:numId w:val="20"/>
        </w:numPr>
        <w:contextualSpacing/>
        <w:rPr>
          <w:rFonts w:ascii="Calibri" w:hAnsi="Calibri"/>
          <w:snapToGrid w:val="0"/>
        </w:rPr>
      </w:pPr>
      <w:r w:rsidRPr="00E44AA1">
        <w:rPr>
          <w:rFonts w:ascii="Calibri" w:hAnsi="Calibri"/>
          <w:snapToGrid w:val="0"/>
        </w:rPr>
        <w:t xml:space="preserve">Computer literate, with good experience of Excel Spreadsheets </w:t>
      </w:r>
      <w:r>
        <w:rPr>
          <w:rFonts w:ascii="Calibri" w:hAnsi="Calibri"/>
          <w:snapToGrid w:val="0"/>
        </w:rPr>
        <w:t>&amp; various financial software packages.</w:t>
      </w:r>
    </w:p>
    <w:p w14:paraId="1349DDE8" w14:textId="77777777" w:rsidR="00B0104E" w:rsidRPr="00E44AA1" w:rsidRDefault="00B0104E" w:rsidP="00B0104E">
      <w:pPr>
        <w:widowControl w:val="0"/>
        <w:numPr>
          <w:ilvl w:val="0"/>
          <w:numId w:val="20"/>
        </w:numPr>
        <w:contextualSpacing/>
        <w:rPr>
          <w:rFonts w:ascii="Calibri" w:hAnsi="Calibri"/>
          <w:snapToGrid w:val="0"/>
        </w:rPr>
      </w:pPr>
      <w:r w:rsidRPr="00E44AA1">
        <w:rPr>
          <w:rFonts w:ascii="Calibri" w:hAnsi="Calibri"/>
          <w:snapToGrid w:val="0"/>
        </w:rPr>
        <w:t>Excellent organisational and communication skills gained in an administrative role.</w:t>
      </w:r>
    </w:p>
    <w:p w14:paraId="13D2D01F" w14:textId="77777777" w:rsidR="00B0104E" w:rsidRPr="00E44AA1" w:rsidRDefault="00B0104E" w:rsidP="00B0104E">
      <w:pPr>
        <w:widowControl w:val="0"/>
        <w:numPr>
          <w:ilvl w:val="0"/>
          <w:numId w:val="20"/>
        </w:numPr>
        <w:contextualSpacing/>
        <w:rPr>
          <w:rFonts w:ascii="Calibri" w:hAnsi="Calibri"/>
          <w:snapToGrid w:val="0"/>
        </w:rPr>
      </w:pPr>
      <w:r w:rsidRPr="00E44AA1">
        <w:rPr>
          <w:rFonts w:ascii="Calibri" w:hAnsi="Calibri"/>
          <w:snapToGrid w:val="0"/>
        </w:rPr>
        <w:t>Strong interpersonal skills to forge close working relationships both with staff and</w:t>
      </w:r>
    </w:p>
    <w:p w14:paraId="1986E9A4" w14:textId="77777777" w:rsidR="00B0104E" w:rsidRPr="00E44AA1" w:rsidRDefault="00B0104E" w:rsidP="00B0104E">
      <w:pPr>
        <w:widowControl w:val="0"/>
        <w:ind w:left="360"/>
        <w:contextualSpacing/>
        <w:rPr>
          <w:rFonts w:ascii="Calibri" w:hAnsi="Calibri"/>
          <w:snapToGrid w:val="0"/>
        </w:rPr>
      </w:pPr>
      <w:r w:rsidRPr="00E44AA1">
        <w:rPr>
          <w:rFonts w:ascii="Calibri" w:hAnsi="Calibri"/>
          <w:snapToGrid w:val="0"/>
        </w:rPr>
        <w:t>external bodies.</w:t>
      </w:r>
    </w:p>
    <w:p w14:paraId="67BDEAC7" w14:textId="77777777" w:rsidR="00B0104E" w:rsidRPr="00E44AA1" w:rsidRDefault="00B0104E" w:rsidP="00B0104E">
      <w:pPr>
        <w:widowControl w:val="0"/>
        <w:numPr>
          <w:ilvl w:val="0"/>
          <w:numId w:val="20"/>
        </w:numPr>
        <w:contextualSpacing/>
        <w:rPr>
          <w:rFonts w:ascii="Calibri" w:hAnsi="Calibri"/>
          <w:snapToGrid w:val="0"/>
        </w:rPr>
      </w:pPr>
      <w:r w:rsidRPr="00E44AA1">
        <w:rPr>
          <w:rFonts w:ascii="Calibri" w:hAnsi="Calibri"/>
          <w:snapToGrid w:val="0"/>
        </w:rPr>
        <w:t>The ability to work accurately under pressure to achieve deadlines.</w:t>
      </w:r>
    </w:p>
    <w:p w14:paraId="7BE4C8F4" w14:textId="77777777" w:rsidR="00B0104E" w:rsidRPr="00E44AA1" w:rsidRDefault="00B0104E" w:rsidP="00B0104E">
      <w:pPr>
        <w:widowControl w:val="0"/>
        <w:numPr>
          <w:ilvl w:val="0"/>
          <w:numId w:val="20"/>
        </w:numPr>
        <w:contextualSpacing/>
        <w:rPr>
          <w:rFonts w:ascii="Calibri" w:hAnsi="Calibri"/>
          <w:snapToGrid w:val="0"/>
        </w:rPr>
      </w:pPr>
      <w:r w:rsidRPr="00E44AA1">
        <w:rPr>
          <w:rFonts w:ascii="Calibri" w:hAnsi="Calibri"/>
          <w:snapToGrid w:val="0"/>
        </w:rPr>
        <w:t>The ability to work as part of a team.</w:t>
      </w:r>
    </w:p>
    <w:p w14:paraId="12FE31BA" w14:textId="77777777" w:rsidR="00B0104E" w:rsidRPr="00E44AA1" w:rsidRDefault="00B0104E" w:rsidP="00B0104E">
      <w:pPr>
        <w:widowControl w:val="0"/>
        <w:numPr>
          <w:ilvl w:val="0"/>
          <w:numId w:val="20"/>
        </w:numPr>
        <w:contextualSpacing/>
        <w:rPr>
          <w:rFonts w:ascii="Calibri" w:hAnsi="Calibri"/>
          <w:snapToGrid w:val="0"/>
        </w:rPr>
      </w:pPr>
      <w:r w:rsidRPr="00E44AA1">
        <w:rPr>
          <w:rFonts w:ascii="Calibri" w:hAnsi="Calibri"/>
          <w:snapToGrid w:val="0"/>
        </w:rPr>
        <w:t>Willingness to work flexible hours, including occasionally working public holidays, weekends and evenings.</w:t>
      </w:r>
    </w:p>
    <w:p w14:paraId="4B473F19" w14:textId="77777777" w:rsidR="0045714D" w:rsidRDefault="0045714D" w:rsidP="0045714D">
      <w:pPr>
        <w:pStyle w:val="Heading2"/>
        <w:rPr>
          <w:rFonts w:asciiTheme="minorHAnsi" w:hAnsiTheme="minorHAnsi" w:cstheme="minorHAnsi"/>
          <w:sz w:val="24"/>
          <w:szCs w:val="24"/>
        </w:rPr>
      </w:pPr>
      <w:r w:rsidRPr="008D0A9C">
        <w:rPr>
          <w:rFonts w:asciiTheme="minorHAnsi" w:hAnsiTheme="minorHAnsi" w:cstheme="minorHAnsi"/>
          <w:sz w:val="24"/>
          <w:szCs w:val="24"/>
        </w:rPr>
        <w:t>Desirable Criteria</w:t>
      </w:r>
    </w:p>
    <w:p w14:paraId="0410BAFD" w14:textId="77777777" w:rsidR="004B41BC" w:rsidRPr="00DC4EFF" w:rsidRDefault="004B41BC" w:rsidP="004B41BC">
      <w:pPr>
        <w:widowControl w:val="0"/>
        <w:numPr>
          <w:ilvl w:val="0"/>
          <w:numId w:val="20"/>
        </w:numPr>
        <w:contextualSpacing/>
        <w:rPr>
          <w:rFonts w:ascii="Calibri" w:hAnsi="Calibri"/>
          <w:b/>
        </w:rPr>
      </w:pPr>
      <w:r w:rsidRPr="00E44AA1">
        <w:rPr>
          <w:rFonts w:ascii="Calibri" w:hAnsi="Calibri"/>
        </w:rPr>
        <w:t xml:space="preserve">Experience in use of </w:t>
      </w:r>
      <w:r>
        <w:rPr>
          <w:rFonts w:ascii="Calibri" w:hAnsi="Calibri"/>
        </w:rPr>
        <w:t xml:space="preserve">Office 365, </w:t>
      </w:r>
      <w:r w:rsidRPr="00E44AA1">
        <w:rPr>
          <w:rFonts w:ascii="Calibri" w:hAnsi="Calibri"/>
        </w:rPr>
        <w:t>Power Point and Word</w:t>
      </w:r>
    </w:p>
    <w:p w14:paraId="57BC3E5C" w14:textId="18420BD4" w:rsidR="00C26EDF" w:rsidRDefault="004B41BC" w:rsidP="0045714D">
      <w:pPr>
        <w:widowControl w:val="0"/>
        <w:numPr>
          <w:ilvl w:val="0"/>
          <w:numId w:val="20"/>
        </w:numPr>
        <w:contextualSpacing/>
        <w:rPr>
          <w:rFonts w:ascii="Calibri" w:hAnsi="Calibri"/>
          <w:b/>
        </w:rPr>
      </w:pPr>
      <w:r>
        <w:rPr>
          <w:rFonts w:ascii="Calibri" w:hAnsi="Calibri"/>
        </w:rPr>
        <w:t>Experience in use of an automated purchase to pay system</w:t>
      </w:r>
    </w:p>
    <w:p w14:paraId="17D465A7" w14:textId="77777777" w:rsidR="004B41BC" w:rsidRPr="004B41BC" w:rsidRDefault="004B41BC" w:rsidP="004B41BC">
      <w:pPr>
        <w:widowControl w:val="0"/>
        <w:ind w:left="360"/>
        <w:contextualSpacing/>
        <w:rPr>
          <w:rFonts w:ascii="Calibri" w:hAnsi="Calibri"/>
          <w:b/>
        </w:rPr>
      </w:pPr>
    </w:p>
    <w:p w14:paraId="74A54ED9" w14:textId="7E99E7B7" w:rsidR="004B41BC" w:rsidRDefault="00C26EDF" w:rsidP="00C26EDF">
      <w:pPr>
        <w:widowControl w:val="0"/>
        <w:rPr>
          <w:rFonts w:asciiTheme="minorHAnsi" w:hAnsiTheme="minorHAnsi" w:cstheme="minorHAnsi"/>
          <w:b/>
          <w:i/>
          <w:snapToGrid w:val="0"/>
        </w:rPr>
      </w:pPr>
      <w:r w:rsidRPr="008D0A9C">
        <w:rPr>
          <w:rFonts w:asciiTheme="minorHAnsi" w:hAnsiTheme="minorHAnsi" w:cstheme="minorHAnsi"/>
          <w:b/>
          <w:i/>
          <w:snapToGrid w:val="0"/>
        </w:rPr>
        <w:t>Salary</w:t>
      </w:r>
    </w:p>
    <w:p w14:paraId="55D5A20D" w14:textId="77777777" w:rsidR="00C207DD" w:rsidRDefault="00C207DD" w:rsidP="00C26EDF">
      <w:pPr>
        <w:widowControl w:val="0"/>
        <w:rPr>
          <w:rFonts w:asciiTheme="minorHAnsi" w:hAnsiTheme="minorHAnsi" w:cstheme="minorHAnsi"/>
          <w:b/>
          <w:i/>
          <w:snapToGrid w:val="0"/>
        </w:rPr>
      </w:pPr>
    </w:p>
    <w:p w14:paraId="5F370F1D" w14:textId="2DE9C6AF" w:rsidR="00C207DD" w:rsidRDefault="00C207DD" w:rsidP="00C207DD">
      <w:pPr>
        <w:widowControl w:val="0"/>
        <w:contextualSpacing/>
        <w:rPr>
          <w:rFonts w:ascii="Calibri" w:hAnsi="Calibri"/>
          <w:snapToGrid w:val="0"/>
        </w:rPr>
      </w:pPr>
      <w:r>
        <w:rPr>
          <w:rFonts w:ascii="Calibri" w:hAnsi="Calibri"/>
          <w:snapToGrid w:val="0"/>
        </w:rPr>
        <w:t>Circa £26,</w:t>
      </w:r>
      <w:r>
        <w:rPr>
          <w:rFonts w:ascii="Calibri" w:hAnsi="Calibri"/>
          <w:snapToGrid w:val="0"/>
        </w:rPr>
        <w:t>25</w:t>
      </w:r>
      <w:r>
        <w:rPr>
          <w:rFonts w:ascii="Calibri" w:hAnsi="Calibri"/>
          <w:snapToGrid w:val="0"/>
        </w:rPr>
        <w:t>0 per annum, dependent on qualifications and experience.</w:t>
      </w:r>
    </w:p>
    <w:p w14:paraId="0B34E25F" w14:textId="77777777" w:rsidR="004B41BC" w:rsidRPr="004B41BC" w:rsidRDefault="004B41BC" w:rsidP="00C26EDF">
      <w:pPr>
        <w:widowControl w:val="0"/>
        <w:rPr>
          <w:rFonts w:asciiTheme="minorHAnsi" w:hAnsiTheme="minorHAnsi" w:cstheme="minorHAnsi"/>
          <w:bCs/>
          <w:iCs/>
          <w:snapToGrid w:val="0"/>
        </w:rPr>
      </w:pPr>
    </w:p>
    <w:p w14:paraId="0478D8DD" w14:textId="77777777" w:rsidR="00C26EDF" w:rsidRPr="008D0A9C" w:rsidRDefault="00C26EDF" w:rsidP="00C26EDF">
      <w:pPr>
        <w:contextualSpacing/>
        <w:rPr>
          <w:rFonts w:asciiTheme="minorHAnsi" w:hAnsiTheme="minorHAnsi" w:cstheme="minorHAnsi"/>
          <w:b/>
          <w:i/>
          <w:iCs/>
        </w:rPr>
      </w:pPr>
    </w:p>
    <w:p w14:paraId="1D9F2E4C" w14:textId="77777777" w:rsidR="00C207DD" w:rsidRDefault="00C207DD" w:rsidP="003D32CB">
      <w:pPr>
        <w:rPr>
          <w:rFonts w:asciiTheme="minorHAnsi" w:eastAsia="Times New Roman" w:hAnsiTheme="minorHAnsi" w:cstheme="minorHAnsi"/>
          <w:b/>
          <w:bCs/>
          <w:sz w:val="22"/>
          <w:szCs w:val="22"/>
          <w:lang w:eastAsia="en-GB"/>
        </w:rPr>
      </w:pPr>
    </w:p>
    <w:p w14:paraId="514445C4" w14:textId="7FB6A9DB" w:rsidR="003D32CB" w:rsidRPr="003D32CB" w:rsidRDefault="003D32CB" w:rsidP="003D32CB">
      <w:pPr>
        <w:rPr>
          <w:rFonts w:asciiTheme="minorHAnsi" w:eastAsia="Times New Roman" w:hAnsiTheme="minorHAnsi" w:cstheme="minorHAnsi"/>
          <w:b/>
          <w:bCs/>
          <w:sz w:val="22"/>
          <w:szCs w:val="22"/>
          <w:lang w:eastAsia="en-GB"/>
        </w:rPr>
      </w:pPr>
      <w:r w:rsidRPr="003D32CB">
        <w:rPr>
          <w:rFonts w:asciiTheme="minorHAnsi" w:eastAsia="Times New Roman" w:hAnsiTheme="minorHAnsi" w:cstheme="minorHAnsi"/>
          <w:b/>
          <w:bCs/>
          <w:sz w:val="22"/>
          <w:szCs w:val="22"/>
          <w:lang w:eastAsia="en-GB"/>
        </w:rPr>
        <w:lastRenderedPageBreak/>
        <w:t>COMPANY BENEFITS</w:t>
      </w:r>
    </w:p>
    <w:p w14:paraId="43354C5D" w14:textId="77777777" w:rsidR="003D32CB" w:rsidRPr="003D32CB" w:rsidRDefault="003D32CB" w:rsidP="003D32CB">
      <w:pPr>
        <w:rPr>
          <w:rFonts w:asciiTheme="minorHAnsi" w:eastAsia="Times New Roman" w:hAnsiTheme="minorHAnsi" w:cstheme="minorHAnsi"/>
          <w:sz w:val="22"/>
          <w:szCs w:val="22"/>
          <w:lang w:eastAsia="en-GB"/>
        </w:rPr>
      </w:pPr>
      <w:r w:rsidRPr="003D32CB">
        <w:rPr>
          <w:rFonts w:asciiTheme="minorHAnsi" w:eastAsia="Times New Roman" w:hAnsiTheme="minorHAnsi" w:cstheme="minorHAnsi"/>
          <w:sz w:val="22"/>
          <w:szCs w:val="22"/>
          <w:lang w:eastAsia="en-GB"/>
        </w:rPr>
        <w:br/>
        <w:t>The Odyssey Group has a range of benefits which it offers to full and part time staff:</w:t>
      </w:r>
    </w:p>
    <w:p w14:paraId="6EBF75A8" w14:textId="77777777" w:rsidR="003D32CB" w:rsidRPr="003D32CB" w:rsidRDefault="003D32CB" w:rsidP="003D32CB">
      <w:pPr>
        <w:rPr>
          <w:rFonts w:asciiTheme="minorHAnsi" w:eastAsia="Times New Roman" w:hAnsiTheme="minorHAnsi" w:cstheme="minorHAnsi"/>
          <w:sz w:val="22"/>
          <w:szCs w:val="22"/>
          <w:lang w:eastAsia="en-GB"/>
        </w:rPr>
      </w:pPr>
    </w:p>
    <w:p w14:paraId="4211A11F" w14:textId="77777777" w:rsidR="003D32CB" w:rsidRPr="003D32CB" w:rsidRDefault="003D32CB" w:rsidP="003D32CB">
      <w:pPr>
        <w:numPr>
          <w:ilvl w:val="0"/>
          <w:numId w:val="21"/>
        </w:numPr>
        <w:rPr>
          <w:rFonts w:asciiTheme="minorHAnsi" w:hAnsiTheme="minorHAnsi" w:cstheme="minorHAnsi"/>
          <w:sz w:val="22"/>
          <w:szCs w:val="22"/>
        </w:rPr>
      </w:pPr>
      <w:r w:rsidRPr="003D32CB">
        <w:rPr>
          <w:rFonts w:asciiTheme="minorHAnsi" w:hAnsiTheme="minorHAnsi" w:cstheme="minorHAnsi"/>
          <w:sz w:val="22"/>
          <w:szCs w:val="22"/>
        </w:rPr>
        <w:t>Free car parking.</w:t>
      </w:r>
    </w:p>
    <w:p w14:paraId="395EFC1A"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33% Discount in the W5 cafe, including coffee and 10% discount in the W5 shop.</w:t>
      </w:r>
    </w:p>
    <w:p w14:paraId="0BFA431F"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Complimentary tickets to Belfast Giants and friends and family access to W5.</w:t>
      </w:r>
    </w:p>
    <w:p w14:paraId="1AEDAF4A"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Holidays commence at 31 days per year rising to 34 [</w:t>
      </w:r>
      <w:proofErr w:type="spellStart"/>
      <w:r w:rsidRPr="003D32CB">
        <w:rPr>
          <w:rFonts w:asciiTheme="minorHAnsi" w:hAnsiTheme="minorHAnsi" w:cstheme="minorHAnsi"/>
          <w:sz w:val="22"/>
          <w:szCs w:val="22"/>
        </w:rPr>
        <w:t>prorata</w:t>
      </w:r>
      <w:proofErr w:type="spellEnd"/>
      <w:r w:rsidRPr="003D32CB">
        <w:rPr>
          <w:rFonts w:asciiTheme="minorHAnsi" w:hAnsiTheme="minorHAnsi" w:cstheme="minorHAnsi"/>
          <w:sz w:val="22"/>
          <w:szCs w:val="22"/>
        </w:rPr>
        <w:t xml:space="preserve"> for part time staff.]</w:t>
      </w:r>
    </w:p>
    <w:p w14:paraId="2B6A781C"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Company paid social events.</w:t>
      </w:r>
    </w:p>
    <w:p w14:paraId="2E8E95ED"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Contributory pension scheme, life assurance and paid sickness benefit.</w:t>
      </w:r>
    </w:p>
    <w:p w14:paraId="2F1A7114" w14:textId="77777777" w:rsidR="003D32CB" w:rsidRPr="003D32CB" w:rsidRDefault="003D32CB" w:rsidP="003D32CB">
      <w:pPr>
        <w:numPr>
          <w:ilvl w:val="0"/>
          <w:numId w:val="22"/>
        </w:numPr>
        <w:rPr>
          <w:sz w:val="22"/>
          <w:szCs w:val="22"/>
        </w:rPr>
      </w:pPr>
      <w:r w:rsidRPr="003D32CB">
        <w:rPr>
          <w:rFonts w:asciiTheme="minorHAnsi" w:hAnsiTheme="minorHAnsi" w:cstheme="minorHAnsi"/>
          <w:sz w:val="22"/>
          <w:szCs w:val="22"/>
        </w:rPr>
        <w:t>A comprehensive health cash plan plus Winter Flu Vaccination Scheme</w:t>
      </w:r>
      <w:r w:rsidRPr="003D32CB">
        <w:rPr>
          <w:sz w:val="22"/>
          <w:szCs w:val="22"/>
        </w:rPr>
        <w:t>.</w:t>
      </w:r>
    </w:p>
    <w:p w14:paraId="095D206D" w14:textId="77777777" w:rsidR="00C26EDF" w:rsidRPr="003D32CB" w:rsidRDefault="00C26EDF" w:rsidP="0045714D">
      <w:pPr>
        <w:rPr>
          <w:rFonts w:asciiTheme="minorHAnsi" w:hAnsiTheme="minorHAnsi" w:cstheme="minorHAnsi"/>
          <w:sz w:val="22"/>
          <w:szCs w:val="22"/>
        </w:rPr>
      </w:pPr>
    </w:p>
    <w:sectPr w:rsidR="00C26EDF" w:rsidRPr="003D32CB"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7487" w14:textId="77777777" w:rsidR="00E766F4" w:rsidRDefault="00E766F4" w:rsidP="00750566">
      <w:r>
        <w:separator/>
      </w:r>
    </w:p>
  </w:endnote>
  <w:endnote w:type="continuationSeparator" w:id="0">
    <w:p w14:paraId="4FB83EE8" w14:textId="77777777" w:rsidR="00E766F4" w:rsidRDefault="00E766F4"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3942" w14:textId="77777777" w:rsidR="00E766F4" w:rsidRDefault="00E766F4" w:rsidP="00750566">
      <w:r>
        <w:separator/>
      </w:r>
    </w:p>
  </w:footnote>
  <w:footnote w:type="continuationSeparator" w:id="0">
    <w:p w14:paraId="4364338D" w14:textId="77777777" w:rsidR="00E766F4" w:rsidRDefault="00E766F4"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41D53"/>
    <w:multiLevelType w:val="hybridMultilevel"/>
    <w:tmpl w:val="593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545"/>
    <w:multiLevelType w:val="hybridMultilevel"/>
    <w:tmpl w:val="C430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82AC0"/>
    <w:multiLevelType w:val="multilevel"/>
    <w:tmpl w:val="8BD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06FF7"/>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1"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D929F9"/>
    <w:multiLevelType w:val="multilevel"/>
    <w:tmpl w:val="BDD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922BA"/>
    <w:multiLevelType w:val="hybridMultilevel"/>
    <w:tmpl w:val="CAF6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6358D"/>
    <w:multiLevelType w:val="multilevel"/>
    <w:tmpl w:val="35F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577AC"/>
    <w:multiLevelType w:val="multilevel"/>
    <w:tmpl w:val="86C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F683A"/>
    <w:multiLevelType w:val="hybridMultilevel"/>
    <w:tmpl w:val="DA58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C0D766"/>
    <w:multiLevelType w:val="hybridMultilevel"/>
    <w:tmpl w:val="EDC644F8"/>
    <w:lvl w:ilvl="0" w:tplc="587AD6E0">
      <w:start w:val="1"/>
      <w:numFmt w:val="bullet"/>
      <w:lvlText w:val=""/>
      <w:lvlJc w:val="left"/>
      <w:pPr>
        <w:ind w:left="3600" w:hanging="360"/>
      </w:pPr>
      <w:rPr>
        <w:rFonts w:ascii="Symbol" w:hAnsi="Symbol" w:hint="default"/>
      </w:rPr>
    </w:lvl>
    <w:lvl w:ilvl="1" w:tplc="0B449310">
      <w:start w:val="1"/>
      <w:numFmt w:val="bullet"/>
      <w:lvlText w:val="o"/>
      <w:lvlJc w:val="left"/>
      <w:pPr>
        <w:ind w:left="4320" w:hanging="360"/>
      </w:pPr>
      <w:rPr>
        <w:rFonts w:ascii="Courier New" w:hAnsi="Courier New" w:hint="default"/>
      </w:rPr>
    </w:lvl>
    <w:lvl w:ilvl="2" w:tplc="5D12E308">
      <w:start w:val="1"/>
      <w:numFmt w:val="bullet"/>
      <w:lvlText w:val=""/>
      <w:lvlJc w:val="left"/>
      <w:pPr>
        <w:ind w:left="5040" w:hanging="360"/>
      </w:pPr>
      <w:rPr>
        <w:rFonts w:ascii="Wingdings" w:hAnsi="Wingdings" w:hint="default"/>
      </w:rPr>
    </w:lvl>
    <w:lvl w:ilvl="3" w:tplc="2458B9FC">
      <w:start w:val="1"/>
      <w:numFmt w:val="bullet"/>
      <w:lvlText w:val=""/>
      <w:lvlJc w:val="left"/>
      <w:pPr>
        <w:ind w:left="5760" w:hanging="360"/>
      </w:pPr>
      <w:rPr>
        <w:rFonts w:ascii="Symbol" w:hAnsi="Symbol" w:hint="default"/>
      </w:rPr>
    </w:lvl>
    <w:lvl w:ilvl="4" w:tplc="7CDCAC00">
      <w:start w:val="1"/>
      <w:numFmt w:val="bullet"/>
      <w:lvlText w:val="o"/>
      <w:lvlJc w:val="left"/>
      <w:pPr>
        <w:ind w:left="6480" w:hanging="360"/>
      </w:pPr>
      <w:rPr>
        <w:rFonts w:ascii="Courier New" w:hAnsi="Courier New" w:hint="default"/>
      </w:rPr>
    </w:lvl>
    <w:lvl w:ilvl="5" w:tplc="EA765DD2">
      <w:start w:val="1"/>
      <w:numFmt w:val="bullet"/>
      <w:lvlText w:val=""/>
      <w:lvlJc w:val="left"/>
      <w:pPr>
        <w:ind w:left="7200" w:hanging="360"/>
      </w:pPr>
      <w:rPr>
        <w:rFonts w:ascii="Wingdings" w:hAnsi="Wingdings" w:hint="default"/>
      </w:rPr>
    </w:lvl>
    <w:lvl w:ilvl="6" w:tplc="C2E0828E">
      <w:start w:val="1"/>
      <w:numFmt w:val="bullet"/>
      <w:lvlText w:val=""/>
      <w:lvlJc w:val="left"/>
      <w:pPr>
        <w:ind w:left="7920" w:hanging="360"/>
      </w:pPr>
      <w:rPr>
        <w:rFonts w:ascii="Symbol" w:hAnsi="Symbol" w:hint="default"/>
      </w:rPr>
    </w:lvl>
    <w:lvl w:ilvl="7" w:tplc="E4566F2C">
      <w:start w:val="1"/>
      <w:numFmt w:val="bullet"/>
      <w:lvlText w:val="o"/>
      <w:lvlJc w:val="left"/>
      <w:pPr>
        <w:ind w:left="8640" w:hanging="360"/>
      </w:pPr>
      <w:rPr>
        <w:rFonts w:ascii="Courier New" w:hAnsi="Courier New" w:hint="default"/>
      </w:rPr>
    </w:lvl>
    <w:lvl w:ilvl="8" w:tplc="8AE03790">
      <w:start w:val="1"/>
      <w:numFmt w:val="bullet"/>
      <w:lvlText w:val=""/>
      <w:lvlJc w:val="left"/>
      <w:pPr>
        <w:ind w:left="9360" w:hanging="360"/>
      </w:pPr>
      <w:rPr>
        <w:rFonts w:ascii="Wingdings" w:hAnsi="Wingdings" w:hint="default"/>
      </w:rPr>
    </w:lvl>
  </w:abstractNum>
  <w:abstractNum w:abstractNumId="31"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57606A9"/>
    <w:multiLevelType w:val="multilevel"/>
    <w:tmpl w:val="42C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329B9"/>
    <w:multiLevelType w:val="multilevel"/>
    <w:tmpl w:val="B7B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35"/>
  </w:num>
  <w:num w:numId="2" w16cid:durableId="936908823">
    <w:abstractNumId w:val="6"/>
  </w:num>
  <w:num w:numId="3" w16cid:durableId="1429809115">
    <w:abstractNumId w:val="20"/>
  </w:num>
  <w:num w:numId="4" w16cid:durableId="762070460">
    <w:abstractNumId w:val="11"/>
  </w:num>
  <w:num w:numId="5" w16cid:durableId="2032484428">
    <w:abstractNumId w:val="22"/>
  </w:num>
  <w:num w:numId="6" w16cid:durableId="16949214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7"/>
  </w:num>
  <w:num w:numId="8" w16cid:durableId="1924680544">
    <w:abstractNumId w:val="9"/>
  </w:num>
  <w:num w:numId="9" w16cid:durableId="1617329567">
    <w:abstractNumId w:val="26"/>
  </w:num>
  <w:num w:numId="10" w16cid:durableId="459425148">
    <w:abstractNumId w:val="13"/>
  </w:num>
  <w:num w:numId="11" w16cid:durableId="1493789580">
    <w:abstractNumId w:val="5"/>
  </w:num>
  <w:num w:numId="12" w16cid:durableId="810488433">
    <w:abstractNumId w:val="34"/>
  </w:num>
  <w:num w:numId="13" w16cid:durableId="1021247972">
    <w:abstractNumId w:val="15"/>
  </w:num>
  <w:num w:numId="14" w16cid:durableId="1146893824">
    <w:abstractNumId w:val="24"/>
  </w:num>
  <w:num w:numId="15" w16cid:durableId="1699430276">
    <w:abstractNumId w:val="4"/>
  </w:num>
  <w:num w:numId="16" w16cid:durableId="2011332129">
    <w:abstractNumId w:val="23"/>
  </w:num>
  <w:num w:numId="17" w16cid:durableId="243413645">
    <w:abstractNumId w:val="29"/>
  </w:num>
  <w:num w:numId="18" w16cid:durableId="69161938">
    <w:abstractNumId w:val="17"/>
  </w:num>
  <w:num w:numId="19" w16cid:durableId="1615866128">
    <w:abstractNumId w:val="1"/>
  </w:num>
  <w:num w:numId="20" w16cid:durableId="131099158">
    <w:abstractNumId w:val="31"/>
  </w:num>
  <w:num w:numId="21" w16cid:durableId="587538680">
    <w:abstractNumId w:val="25"/>
  </w:num>
  <w:num w:numId="22" w16cid:durableId="248272872">
    <w:abstractNumId w:val="0"/>
  </w:num>
  <w:num w:numId="23" w16cid:durableId="880744905">
    <w:abstractNumId w:val="21"/>
  </w:num>
  <w:num w:numId="24" w16cid:durableId="1700351583">
    <w:abstractNumId w:val="11"/>
  </w:num>
  <w:num w:numId="25" w16cid:durableId="2128085542">
    <w:abstractNumId w:val="2"/>
  </w:num>
  <w:num w:numId="26" w16cid:durableId="885988084">
    <w:abstractNumId w:val="16"/>
  </w:num>
  <w:num w:numId="27" w16cid:durableId="1367675582">
    <w:abstractNumId w:val="30"/>
  </w:num>
  <w:num w:numId="28" w16cid:durableId="1666979617">
    <w:abstractNumId w:val="3"/>
  </w:num>
  <w:num w:numId="29" w16cid:durableId="1176187028">
    <w:abstractNumId w:val="28"/>
  </w:num>
  <w:num w:numId="30" w16cid:durableId="1364868397">
    <w:abstractNumId w:val="14"/>
  </w:num>
  <w:num w:numId="31" w16cid:durableId="585576843">
    <w:abstractNumId w:val="8"/>
  </w:num>
  <w:num w:numId="32" w16cid:durableId="1485702478">
    <w:abstractNumId w:val="33"/>
  </w:num>
  <w:num w:numId="33" w16cid:durableId="834564989">
    <w:abstractNumId w:val="19"/>
  </w:num>
  <w:num w:numId="34" w16cid:durableId="1632007651">
    <w:abstractNumId w:val="32"/>
  </w:num>
  <w:num w:numId="35" w16cid:durableId="1106925343">
    <w:abstractNumId w:val="10"/>
  </w:num>
  <w:num w:numId="36" w16cid:durableId="1592157848">
    <w:abstractNumId w:val="18"/>
  </w:num>
  <w:num w:numId="37" w16cid:durableId="555698111">
    <w:abstractNumId w:val="7"/>
  </w:num>
  <w:num w:numId="38" w16cid:durableId="214001741">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46DE"/>
    <w:rsid w:val="0002711E"/>
    <w:rsid w:val="00032835"/>
    <w:rsid w:val="000341B0"/>
    <w:rsid w:val="00037FEC"/>
    <w:rsid w:val="0004445B"/>
    <w:rsid w:val="00045367"/>
    <w:rsid w:val="00050264"/>
    <w:rsid w:val="00054E5F"/>
    <w:rsid w:val="00096118"/>
    <w:rsid w:val="000B3A83"/>
    <w:rsid w:val="000B3BA5"/>
    <w:rsid w:val="000B3D4F"/>
    <w:rsid w:val="000C39AA"/>
    <w:rsid w:val="000D0C50"/>
    <w:rsid w:val="000F080B"/>
    <w:rsid w:val="000F27F0"/>
    <w:rsid w:val="000F3F26"/>
    <w:rsid w:val="00101FE7"/>
    <w:rsid w:val="0010474E"/>
    <w:rsid w:val="001100BE"/>
    <w:rsid w:val="001306A9"/>
    <w:rsid w:val="00133A6B"/>
    <w:rsid w:val="00145642"/>
    <w:rsid w:val="001561F2"/>
    <w:rsid w:val="001E6D7D"/>
    <w:rsid w:val="001F5C99"/>
    <w:rsid w:val="00217980"/>
    <w:rsid w:val="00225BDB"/>
    <w:rsid w:val="00233D35"/>
    <w:rsid w:val="00245716"/>
    <w:rsid w:val="002510BB"/>
    <w:rsid w:val="00260F7B"/>
    <w:rsid w:val="0026361C"/>
    <w:rsid w:val="00272C8C"/>
    <w:rsid w:val="0027447E"/>
    <w:rsid w:val="00275854"/>
    <w:rsid w:val="00281C62"/>
    <w:rsid w:val="002836B3"/>
    <w:rsid w:val="00285A21"/>
    <w:rsid w:val="00286B6C"/>
    <w:rsid w:val="002876E6"/>
    <w:rsid w:val="00294D5D"/>
    <w:rsid w:val="00295B7D"/>
    <w:rsid w:val="002A6211"/>
    <w:rsid w:val="002C4002"/>
    <w:rsid w:val="00300F45"/>
    <w:rsid w:val="003156FC"/>
    <w:rsid w:val="00342FEA"/>
    <w:rsid w:val="003467EC"/>
    <w:rsid w:val="00353F39"/>
    <w:rsid w:val="00354CAC"/>
    <w:rsid w:val="0036253B"/>
    <w:rsid w:val="0036636A"/>
    <w:rsid w:val="003772CC"/>
    <w:rsid w:val="003814A1"/>
    <w:rsid w:val="003A124E"/>
    <w:rsid w:val="003A2B36"/>
    <w:rsid w:val="003A6E30"/>
    <w:rsid w:val="003A7E09"/>
    <w:rsid w:val="003B0F45"/>
    <w:rsid w:val="003B205E"/>
    <w:rsid w:val="003D00ED"/>
    <w:rsid w:val="003D2894"/>
    <w:rsid w:val="003D32CB"/>
    <w:rsid w:val="003D50F8"/>
    <w:rsid w:val="003D6077"/>
    <w:rsid w:val="003F0FF7"/>
    <w:rsid w:val="004019C4"/>
    <w:rsid w:val="00433543"/>
    <w:rsid w:val="0045714D"/>
    <w:rsid w:val="00460B55"/>
    <w:rsid w:val="00473FCB"/>
    <w:rsid w:val="00493A14"/>
    <w:rsid w:val="004B01B8"/>
    <w:rsid w:val="004B0C45"/>
    <w:rsid w:val="004B1762"/>
    <w:rsid w:val="004B287A"/>
    <w:rsid w:val="004B2AB4"/>
    <w:rsid w:val="004B41BC"/>
    <w:rsid w:val="004C2085"/>
    <w:rsid w:val="004D57F0"/>
    <w:rsid w:val="004E297B"/>
    <w:rsid w:val="004E3E6F"/>
    <w:rsid w:val="00503905"/>
    <w:rsid w:val="00512B62"/>
    <w:rsid w:val="00522595"/>
    <w:rsid w:val="0053369D"/>
    <w:rsid w:val="005772AF"/>
    <w:rsid w:val="0058234D"/>
    <w:rsid w:val="005831FC"/>
    <w:rsid w:val="00592A9B"/>
    <w:rsid w:val="005A5F45"/>
    <w:rsid w:val="005B01B5"/>
    <w:rsid w:val="005B4B0D"/>
    <w:rsid w:val="005D05F1"/>
    <w:rsid w:val="005D76B2"/>
    <w:rsid w:val="005E56FE"/>
    <w:rsid w:val="005E6C8A"/>
    <w:rsid w:val="005E7581"/>
    <w:rsid w:val="005F302E"/>
    <w:rsid w:val="005F3E77"/>
    <w:rsid w:val="005F5BF1"/>
    <w:rsid w:val="005F66DE"/>
    <w:rsid w:val="00605348"/>
    <w:rsid w:val="00613010"/>
    <w:rsid w:val="00624DD2"/>
    <w:rsid w:val="00661F7D"/>
    <w:rsid w:val="00666B72"/>
    <w:rsid w:val="0067335F"/>
    <w:rsid w:val="006823C7"/>
    <w:rsid w:val="00691AA0"/>
    <w:rsid w:val="00692FF1"/>
    <w:rsid w:val="006A260C"/>
    <w:rsid w:val="006A5380"/>
    <w:rsid w:val="006C5F3E"/>
    <w:rsid w:val="006D2391"/>
    <w:rsid w:val="006D5245"/>
    <w:rsid w:val="006E01EB"/>
    <w:rsid w:val="006E182B"/>
    <w:rsid w:val="006E5B8B"/>
    <w:rsid w:val="006E7178"/>
    <w:rsid w:val="006F6EB6"/>
    <w:rsid w:val="006F7024"/>
    <w:rsid w:val="006F704E"/>
    <w:rsid w:val="006F7781"/>
    <w:rsid w:val="007103FE"/>
    <w:rsid w:val="0072147E"/>
    <w:rsid w:val="0072545F"/>
    <w:rsid w:val="00736134"/>
    <w:rsid w:val="0074115C"/>
    <w:rsid w:val="00744AFB"/>
    <w:rsid w:val="00745B1E"/>
    <w:rsid w:val="00750566"/>
    <w:rsid w:val="00750E6E"/>
    <w:rsid w:val="00753C55"/>
    <w:rsid w:val="0076382A"/>
    <w:rsid w:val="00774604"/>
    <w:rsid w:val="00775BE0"/>
    <w:rsid w:val="007802FF"/>
    <w:rsid w:val="007827A5"/>
    <w:rsid w:val="00786251"/>
    <w:rsid w:val="007B4F45"/>
    <w:rsid w:val="007C2FA2"/>
    <w:rsid w:val="007C55A6"/>
    <w:rsid w:val="007D0359"/>
    <w:rsid w:val="007D4009"/>
    <w:rsid w:val="007E16CA"/>
    <w:rsid w:val="007E3629"/>
    <w:rsid w:val="007E7C39"/>
    <w:rsid w:val="007F17BA"/>
    <w:rsid w:val="007F5BF1"/>
    <w:rsid w:val="00802DAF"/>
    <w:rsid w:val="00816B76"/>
    <w:rsid w:val="008341AA"/>
    <w:rsid w:val="008347FC"/>
    <w:rsid w:val="00841640"/>
    <w:rsid w:val="00853BA8"/>
    <w:rsid w:val="00867281"/>
    <w:rsid w:val="00872A16"/>
    <w:rsid w:val="00885252"/>
    <w:rsid w:val="008953FD"/>
    <w:rsid w:val="00897DBE"/>
    <w:rsid w:val="008A18F7"/>
    <w:rsid w:val="008C426E"/>
    <w:rsid w:val="008D0931"/>
    <w:rsid w:val="008D0A9C"/>
    <w:rsid w:val="008E13D4"/>
    <w:rsid w:val="008E3669"/>
    <w:rsid w:val="008E5201"/>
    <w:rsid w:val="008E6EE2"/>
    <w:rsid w:val="00906E71"/>
    <w:rsid w:val="00916F0E"/>
    <w:rsid w:val="009302E5"/>
    <w:rsid w:val="00930FDA"/>
    <w:rsid w:val="009435F4"/>
    <w:rsid w:val="00955D92"/>
    <w:rsid w:val="00987F74"/>
    <w:rsid w:val="00992934"/>
    <w:rsid w:val="009940A3"/>
    <w:rsid w:val="009A43C5"/>
    <w:rsid w:val="009D1440"/>
    <w:rsid w:val="009E0E22"/>
    <w:rsid w:val="009E7C7C"/>
    <w:rsid w:val="00A042B0"/>
    <w:rsid w:val="00A171FB"/>
    <w:rsid w:val="00A2275B"/>
    <w:rsid w:val="00A502D0"/>
    <w:rsid w:val="00A5350C"/>
    <w:rsid w:val="00A53FFD"/>
    <w:rsid w:val="00A66715"/>
    <w:rsid w:val="00A721A5"/>
    <w:rsid w:val="00A74693"/>
    <w:rsid w:val="00A77515"/>
    <w:rsid w:val="00A91CD7"/>
    <w:rsid w:val="00AB3667"/>
    <w:rsid w:val="00AC1C8C"/>
    <w:rsid w:val="00AC28DD"/>
    <w:rsid w:val="00AC5C26"/>
    <w:rsid w:val="00AD0D94"/>
    <w:rsid w:val="00AF1E11"/>
    <w:rsid w:val="00AF6508"/>
    <w:rsid w:val="00B0104E"/>
    <w:rsid w:val="00B15C81"/>
    <w:rsid w:val="00B213C4"/>
    <w:rsid w:val="00B307F5"/>
    <w:rsid w:val="00B31E77"/>
    <w:rsid w:val="00B330E5"/>
    <w:rsid w:val="00B34D78"/>
    <w:rsid w:val="00B4116C"/>
    <w:rsid w:val="00B45408"/>
    <w:rsid w:val="00B54A66"/>
    <w:rsid w:val="00B55C50"/>
    <w:rsid w:val="00B57045"/>
    <w:rsid w:val="00B70805"/>
    <w:rsid w:val="00B7462C"/>
    <w:rsid w:val="00BA064D"/>
    <w:rsid w:val="00BB0EBE"/>
    <w:rsid w:val="00BB1FE5"/>
    <w:rsid w:val="00BB43BD"/>
    <w:rsid w:val="00BB705D"/>
    <w:rsid w:val="00BC5C46"/>
    <w:rsid w:val="00BE2E22"/>
    <w:rsid w:val="00BE3E24"/>
    <w:rsid w:val="00BE40DC"/>
    <w:rsid w:val="00BE61FE"/>
    <w:rsid w:val="00BF3D89"/>
    <w:rsid w:val="00BF68BF"/>
    <w:rsid w:val="00C032E8"/>
    <w:rsid w:val="00C03422"/>
    <w:rsid w:val="00C1500F"/>
    <w:rsid w:val="00C15DBC"/>
    <w:rsid w:val="00C207DD"/>
    <w:rsid w:val="00C238AE"/>
    <w:rsid w:val="00C23AFD"/>
    <w:rsid w:val="00C24611"/>
    <w:rsid w:val="00C26EDF"/>
    <w:rsid w:val="00C31255"/>
    <w:rsid w:val="00C33494"/>
    <w:rsid w:val="00C363EA"/>
    <w:rsid w:val="00C57423"/>
    <w:rsid w:val="00C576B8"/>
    <w:rsid w:val="00C61035"/>
    <w:rsid w:val="00CB349E"/>
    <w:rsid w:val="00CC45C7"/>
    <w:rsid w:val="00CD139A"/>
    <w:rsid w:val="00CD4061"/>
    <w:rsid w:val="00CD5FA7"/>
    <w:rsid w:val="00CD62ED"/>
    <w:rsid w:val="00CD6BA8"/>
    <w:rsid w:val="00CE5364"/>
    <w:rsid w:val="00D02F04"/>
    <w:rsid w:val="00D0455B"/>
    <w:rsid w:val="00D31673"/>
    <w:rsid w:val="00D41AE4"/>
    <w:rsid w:val="00D46FCD"/>
    <w:rsid w:val="00D47776"/>
    <w:rsid w:val="00D5076F"/>
    <w:rsid w:val="00D53F68"/>
    <w:rsid w:val="00D603BB"/>
    <w:rsid w:val="00D66797"/>
    <w:rsid w:val="00D71264"/>
    <w:rsid w:val="00D77BC5"/>
    <w:rsid w:val="00D83CA5"/>
    <w:rsid w:val="00DC5652"/>
    <w:rsid w:val="00DE4980"/>
    <w:rsid w:val="00DF14CA"/>
    <w:rsid w:val="00E12268"/>
    <w:rsid w:val="00E1261B"/>
    <w:rsid w:val="00E129E2"/>
    <w:rsid w:val="00E140AB"/>
    <w:rsid w:val="00E2744F"/>
    <w:rsid w:val="00E32AAC"/>
    <w:rsid w:val="00E40EED"/>
    <w:rsid w:val="00E4421A"/>
    <w:rsid w:val="00E462B2"/>
    <w:rsid w:val="00E52F07"/>
    <w:rsid w:val="00E5450D"/>
    <w:rsid w:val="00E61073"/>
    <w:rsid w:val="00E65ED6"/>
    <w:rsid w:val="00E72231"/>
    <w:rsid w:val="00E757B7"/>
    <w:rsid w:val="00E76084"/>
    <w:rsid w:val="00E766F4"/>
    <w:rsid w:val="00E826BC"/>
    <w:rsid w:val="00E9501E"/>
    <w:rsid w:val="00EA0627"/>
    <w:rsid w:val="00EA4AB8"/>
    <w:rsid w:val="00EA72F4"/>
    <w:rsid w:val="00EB78FE"/>
    <w:rsid w:val="00EC765B"/>
    <w:rsid w:val="00EF18C5"/>
    <w:rsid w:val="00F11C63"/>
    <w:rsid w:val="00F150FE"/>
    <w:rsid w:val="00F15667"/>
    <w:rsid w:val="00F43A40"/>
    <w:rsid w:val="00F47EEE"/>
    <w:rsid w:val="00F67510"/>
    <w:rsid w:val="00F75239"/>
    <w:rsid w:val="00F80FAE"/>
    <w:rsid w:val="00F82F00"/>
    <w:rsid w:val="00F97900"/>
    <w:rsid w:val="00FA795F"/>
    <w:rsid w:val="00FC5774"/>
    <w:rsid w:val="00FE4FE7"/>
    <w:rsid w:val="00FE710A"/>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customXml/itemProps2.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3.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4.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5.xml><?xml version="1.0" encoding="utf-8"?>
<ds:datastoreItem xmlns:ds="http://schemas.openxmlformats.org/officeDocument/2006/customXml" ds:itemID="{D897D597-AA38-4F61-97CF-78CFAA23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4909</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16</cp:revision>
  <cp:lastPrinted>2023-03-01T16:07:00Z</cp:lastPrinted>
  <dcterms:created xsi:type="dcterms:W3CDTF">2025-11-28T09:52:00Z</dcterms:created>
  <dcterms:modified xsi:type="dcterms:W3CDTF">2025-11-28T10:01:00Z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